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mes New Roman" w:hAnsi="Times New Roman"/>
          <w:b/>
          <w:sz w:val="28"/>
        </w:rPr>
        <w:t>T.C.</w:t>
        <w:br/>
      </w:r>
      <w:r>
        <w:rPr>
          <w:rFonts w:ascii="Times New Roman" w:hAnsi="Times New Roman"/>
          <w:b/>
          <w:sz w:val="32"/>
        </w:rPr>
        <w:t>SİİRT ÜNİVERSİTESİ</w:t>
        <w:br/>
      </w:r>
      <w:r>
        <w:rPr>
          <w:rFonts w:ascii="Times New Roman" w:hAnsi="Times New Roman"/>
          <w:b/>
          <w:sz w:val="32"/>
        </w:rPr>
        <w:t>VETERİNER FAKÜLTESİ</w:t>
        <w:br/>
      </w:r>
      <w:r>
        <w:rPr>
          <w:rFonts w:ascii="Times New Roman" w:hAnsi="Times New Roman"/>
          <w:b/>
          <w:sz w:val="30"/>
        </w:rPr>
        <w:t>DIŞ PAYDAŞ PROGRAM DEĞERLENDİRME ANKETİ</w:t>
        <w:br/>
      </w:r>
      <w:r>
        <w:rPr>
          <w:rFonts w:ascii="Times New Roman" w:hAnsi="Times New Roman"/>
          <w:b/>
          <w:sz w:val="30"/>
        </w:rPr>
        <w:t>AYRINTILI DEĞERLENDİRME RAPORU</w:t>
        <w:br/>
      </w:r>
      <w:r>
        <w:rPr>
          <w:rFonts w:ascii="Times New Roman" w:hAnsi="Times New Roman"/>
          <w:b/>
          <w:sz w:val="28"/>
        </w:rPr>
        <w:t>2026</w:t>
      </w:r>
    </w:p>
    <w:p>
      <w:r>
        <w:br w:type="page"/>
      </w:r>
    </w:p>
    <w:p>
      <w:pPr>
        <w:pStyle w:val="Heading1"/>
        <w:spacing w:before="160" w:after="120"/>
      </w:pPr>
      <w:r>
        <w:rPr>
          <w:rFonts w:ascii="Times New Roman" w:hAnsi="Times New Roman"/>
          <w:b/>
          <w:color w:val="1F4E79"/>
          <w:sz w:val="30"/>
        </w:rPr>
        <w:t>İçindekiler</w:t>
      </w:r>
    </w:p>
    <w:p>
      <w:pPr>
        <w:spacing w:after="40" w:line="259" w:lineRule="auto"/>
      </w:pPr>
      <w:r>
        <w:rPr>
          <w:rFonts w:ascii="Times New Roman" w:hAnsi="Times New Roman"/>
          <w:b w:val="0"/>
          <w:i w:val="0"/>
          <w:sz w:val="22"/>
        </w:rPr>
        <w:t>1. Giriş</w:t>
      </w:r>
    </w:p>
    <w:p>
      <w:pPr>
        <w:spacing w:after="40" w:line="259" w:lineRule="auto"/>
      </w:pPr>
      <w:r>
        <w:rPr>
          <w:rFonts w:ascii="Times New Roman" w:hAnsi="Times New Roman"/>
          <w:b w:val="0"/>
          <w:i w:val="0"/>
          <w:sz w:val="22"/>
        </w:rPr>
        <w:t>2. Değerlendirme Yöntemi</w:t>
      </w:r>
    </w:p>
    <w:p>
      <w:pPr>
        <w:spacing w:after="40" w:line="259" w:lineRule="auto"/>
      </w:pPr>
      <w:r>
        <w:rPr>
          <w:rFonts w:ascii="Times New Roman" w:hAnsi="Times New Roman"/>
          <w:b w:val="0"/>
          <w:i w:val="0"/>
          <w:sz w:val="22"/>
        </w:rPr>
        <w:t>3. Verilerin Analizi</w:t>
      </w:r>
    </w:p>
    <w:p>
      <w:pPr>
        <w:spacing w:after="40" w:line="259" w:lineRule="auto"/>
      </w:pPr>
      <w:r>
        <w:rPr>
          <w:rFonts w:ascii="Times New Roman" w:hAnsi="Times New Roman"/>
          <w:b w:val="0"/>
          <w:i w:val="0"/>
          <w:sz w:val="22"/>
        </w:rPr>
        <w:t>4. Paydaş Dağılımının Değerlendirilmesi</w:t>
      </w:r>
    </w:p>
    <w:p>
      <w:pPr>
        <w:spacing w:after="40" w:line="259" w:lineRule="auto"/>
      </w:pPr>
      <w:r>
        <w:rPr>
          <w:rFonts w:ascii="Times New Roman" w:hAnsi="Times New Roman"/>
          <w:b w:val="0"/>
          <w:i w:val="0"/>
          <w:sz w:val="22"/>
        </w:rPr>
        <w:t>5. Dış Paydaş Program Değerlendirme Anketi Bulguları</w:t>
      </w:r>
    </w:p>
    <w:p>
      <w:pPr>
        <w:spacing w:after="40" w:line="259" w:lineRule="auto"/>
      </w:pPr>
      <w:r>
        <w:rPr>
          <w:rFonts w:ascii="Times New Roman" w:hAnsi="Times New Roman"/>
          <w:b w:val="0"/>
          <w:i w:val="0"/>
          <w:sz w:val="22"/>
        </w:rPr>
        <w:t xml:space="preserve">   5.1. Program Amacı ve Temel Yeterlilikler</w:t>
      </w:r>
    </w:p>
    <w:p>
      <w:pPr>
        <w:spacing w:after="40" w:line="259" w:lineRule="auto"/>
      </w:pPr>
      <w:r>
        <w:rPr>
          <w:rFonts w:ascii="Times New Roman" w:hAnsi="Times New Roman"/>
          <w:b w:val="0"/>
          <w:i w:val="0"/>
          <w:sz w:val="22"/>
        </w:rPr>
        <w:t xml:space="preserve">   5.2. Mezun Yetkinlikleri</w:t>
      </w:r>
    </w:p>
    <w:p>
      <w:pPr>
        <w:spacing w:after="40" w:line="259" w:lineRule="auto"/>
      </w:pPr>
      <w:r>
        <w:rPr>
          <w:rFonts w:ascii="Times New Roman" w:hAnsi="Times New Roman"/>
          <w:b w:val="0"/>
          <w:i w:val="0"/>
          <w:sz w:val="22"/>
        </w:rPr>
        <w:t xml:space="preserve">   5.3. Eğitim Dengesi, Disiplinler Arası Yapı ve Teknoloji</w:t>
      </w:r>
    </w:p>
    <w:p>
      <w:pPr>
        <w:spacing w:after="40" w:line="259" w:lineRule="auto"/>
      </w:pPr>
      <w:r>
        <w:rPr>
          <w:rFonts w:ascii="Times New Roman" w:hAnsi="Times New Roman"/>
          <w:b w:val="0"/>
          <w:i w:val="0"/>
          <w:sz w:val="22"/>
        </w:rPr>
        <w:t xml:space="preserve">   5.4. Ders İçerikleri, Uygulama ve Mesleki Yetkinlik</w:t>
      </w:r>
    </w:p>
    <w:p>
      <w:pPr>
        <w:spacing w:after="40" w:line="259" w:lineRule="auto"/>
      </w:pPr>
      <w:r>
        <w:rPr>
          <w:rFonts w:ascii="Times New Roman" w:hAnsi="Times New Roman"/>
          <w:b w:val="0"/>
          <w:i w:val="0"/>
          <w:sz w:val="22"/>
        </w:rPr>
        <w:t xml:space="preserve">   5.5. Sektör İş Birliği, Dış Paydaş Katkısı ve Genel Yeterlilik</w:t>
      </w:r>
    </w:p>
    <w:p>
      <w:pPr>
        <w:spacing w:after="40" w:line="259" w:lineRule="auto"/>
      </w:pPr>
      <w:r>
        <w:rPr>
          <w:rFonts w:ascii="Times New Roman" w:hAnsi="Times New Roman"/>
          <w:b w:val="0"/>
          <w:i w:val="0"/>
          <w:sz w:val="22"/>
        </w:rPr>
        <w:t xml:space="preserve">   5.6. Açık Uçlu Görüş ve Önerilere İlişkin Bulgular</w:t>
      </w:r>
    </w:p>
    <w:p>
      <w:pPr>
        <w:spacing w:after="40" w:line="259" w:lineRule="auto"/>
      </w:pPr>
      <w:r>
        <w:rPr>
          <w:rFonts w:ascii="Times New Roman" w:hAnsi="Times New Roman"/>
          <w:b w:val="0"/>
          <w:i w:val="0"/>
          <w:sz w:val="22"/>
        </w:rPr>
        <w:t>6. Dikkat Kontrol Maddesine İlişkin Veri Kalitesi Değerlendirmesi</w:t>
      </w:r>
    </w:p>
    <w:p>
      <w:pPr>
        <w:spacing w:after="40" w:line="259" w:lineRule="auto"/>
      </w:pPr>
      <w:r>
        <w:rPr>
          <w:rFonts w:ascii="Times New Roman" w:hAnsi="Times New Roman"/>
          <w:b w:val="0"/>
          <w:i w:val="0"/>
          <w:sz w:val="22"/>
        </w:rPr>
        <w:t>7. Genel Değerlendirme</w:t>
      </w:r>
    </w:p>
    <w:p>
      <w:pPr>
        <w:spacing w:after="40" w:line="259" w:lineRule="auto"/>
      </w:pPr>
      <w:r>
        <w:rPr>
          <w:rFonts w:ascii="Times New Roman" w:hAnsi="Times New Roman"/>
          <w:b w:val="0"/>
          <w:i w:val="0"/>
          <w:sz w:val="22"/>
        </w:rPr>
        <w:t>8. Ekler</w:t>
      </w:r>
    </w:p>
    <w:p>
      <w:r>
        <w:br w:type="page"/>
      </w:r>
    </w:p>
    <w:p>
      <w:pPr>
        <w:pStyle w:val="Heading1"/>
        <w:spacing w:before="160" w:after="120"/>
      </w:pPr>
      <w:r>
        <w:rPr>
          <w:rFonts w:ascii="Times New Roman" w:hAnsi="Times New Roman"/>
          <w:b/>
          <w:color w:val="1F4E79"/>
          <w:sz w:val="30"/>
        </w:rPr>
        <w:t>1. Giriş</w:t>
      </w:r>
    </w:p>
    <w:p>
      <w:pPr>
        <w:spacing w:after="120" w:line="259" w:lineRule="auto"/>
        <w:ind w:firstLine="425"/>
      </w:pPr>
      <w:r>
        <w:rPr>
          <w:rFonts w:ascii="Times New Roman" w:hAnsi="Times New Roman"/>
          <w:b w:val="0"/>
          <w:i w:val="0"/>
          <w:sz w:val="22"/>
        </w:rPr>
        <w:t>Dış Paydaş Program Değerlendirme Anketi, Siirt Üniversitesi Veteriner Fakültesi programının sektör beklentileri, mezun yeterlilikleri, ders içerikleri, uygulama olanakları, fakülte-sektör iş birliği ve programın genel yeterliliği açısından değerlendirilmesi amacıyla uygulanmıştır.</w:t>
      </w:r>
    </w:p>
    <w:p>
      <w:pPr>
        <w:spacing w:after="120" w:line="259" w:lineRule="auto"/>
        <w:ind w:firstLine="425"/>
      </w:pPr>
      <w:r>
        <w:rPr>
          <w:rFonts w:ascii="Times New Roman" w:hAnsi="Times New Roman"/>
          <w:b w:val="0"/>
          <w:i w:val="0"/>
          <w:sz w:val="22"/>
        </w:rPr>
        <w:t>Anket aracılığıyla dış paydaşların fakülte programına ilişkin deneyimleri, beklentileri ve önerileri nicel ve nitel olarak değerlendirilmiş; güçlü yönler ile geliştirilmesi gereken alanların belirlenmesi hedeflenmiştir. Elde edilen bulgular, program güncelleme çalışmaları, kalite güvencesi, sektörle iletişim, mezun yeterliliklerinin izlenmesi ve sürekli iyileştirme süreçleri açısından önemli bir dış paydaş geri bildirimi niteliğindedir.</w:t>
      </w:r>
    </w:p>
    <w:p>
      <w:pPr>
        <w:pStyle w:val="Heading1"/>
        <w:spacing w:before="160" w:after="120"/>
      </w:pPr>
      <w:r>
        <w:rPr>
          <w:rFonts w:ascii="Times New Roman" w:hAnsi="Times New Roman"/>
          <w:b/>
          <w:color w:val="1F4E79"/>
          <w:sz w:val="30"/>
        </w:rPr>
        <w:t>2. Değerlendirme Yöntemi</w:t>
      </w:r>
    </w:p>
    <w:p>
      <w:pPr>
        <w:spacing w:after="120" w:line="259" w:lineRule="auto"/>
        <w:ind w:firstLine="425"/>
      </w:pPr>
      <w:r>
        <w:rPr>
          <w:rFonts w:ascii="Times New Roman" w:hAnsi="Times New Roman"/>
          <w:b w:val="0"/>
          <w:i w:val="0"/>
          <w:sz w:val="22"/>
        </w:rPr>
        <w:t>Anket 5'li Likert ölçeği kullanılarak uygulanmıştır. Ölçekte 1 = Kesinlikle Katılmıyorum, 2 = Katılmıyorum, 3 = Kararsızım, 4 = Katılıyorum ve 5 = Kesinlikle Katılıyorum seçenekleri yer almaktadır.</w:t>
      </w:r>
    </w:p>
    <w:p>
      <w:pPr>
        <w:spacing w:after="120" w:line="259" w:lineRule="auto"/>
        <w:ind w:firstLine="425"/>
      </w:pPr>
      <w:r>
        <w:rPr>
          <w:rFonts w:ascii="Times New Roman" w:hAnsi="Times New Roman"/>
          <w:b w:val="0"/>
          <w:i w:val="0"/>
          <w:sz w:val="22"/>
        </w:rPr>
        <w:t>Değerlendirmede “Katılıyorum” ve “Kesinlikle Katılıyorum” seçenekleri olumlu görüş; “Kararsızım” seçeneği kararsız görüş; “Katılmıyorum” ve “Kesinlikle Katılmıyorum” seçenekleri ise olumsuz görüş olarak kabul edilmiştir.</w:t>
      </w:r>
    </w:p>
    <w:p>
      <w:pPr>
        <w:spacing w:after="120" w:line="259" w:lineRule="auto"/>
        <w:ind w:firstLine="425"/>
      </w:pPr>
      <w:r>
        <w:rPr>
          <w:rFonts w:ascii="Times New Roman" w:hAnsi="Times New Roman"/>
          <w:b w:val="0"/>
          <w:i w:val="0"/>
          <w:sz w:val="22"/>
        </w:rPr>
        <w:t>Excel veri dosyasında toplam 11 dış paydaş yanıtı bulunmaktadır. Kontrol amaçlı madde ve açık uçlu sorular genel ortalama hesaplamasına dahil edilmemiştir. Nicel analiz 22 değerlendirme maddesi üzerinden yapılmıştır. Her bir madde için frekans, yüzde, ortalama puan, olumlu görüş oranı, kararsız görüş oranı ve olumsuz görüş oranı hesaplanmıştır. Açık uçlu yanıtlar içerik analizi yaklaşımıyla tematik olarak gruplandırılmıştır.</w:t>
      </w:r>
    </w:p>
    <w:p>
      <w:pPr>
        <w:pStyle w:val="Heading1"/>
        <w:spacing w:before="160" w:after="120"/>
      </w:pPr>
      <w:r>
        <w:rPr>
          <w:rFonts w:ascii="Times New Roman" w:hAnsi="Times New Roman"/>
          <w:b/>
          <w:color w:val="1F4E79"/>
          <w:sz w:val="30"/>
        </w:rPr>
        <w:t>3. Verilerin Analizi</w:t>
      </w:r>
    </w:p>
    <w:p>
      <w:pPr>
        <w:spacing w:after="120" w:line="259" w:lineRule="auto"/>
        <w:ind w:firstLine="425"/>
      </w:pPr>
      <w:r>
        <w:rPr>
          <w:rFonts w:ascii="Times New Roman" w:hAnsi="Times New Roman"/>
          <w:b w:val="0"/>
          <w:i w:val="0"/>
          <w:sz w:val="22"/>
        </w:rPr>
        <w:t>Anket verileri incelendiğinde toplam 11 dış paydaşın değerlendirmeye katıldığı belirlenmiştir. Değerlendirilen 22 Likert tipi madde birlikte ele alındığında genel ortalama 4,03/5,00 olarak hesaplanmıştır. Tüm Likert yanıtları birlikte değerlendirildiğinde olumlu görüş oranı %69,4, kararsız görüş oranı %29,3 ve olumsuz görüş oranı %1,2 düzeyindedir.</w:t>
      </w:r>
    </w:p>
    <w:p>
      <w:pPr>
        <w:spacing w:after="120" w:line="259" w:lineRule="auto"/>
        <w:ind w:firstLine="425"/>
      </w:pPr>
      <w:r>
        <w:rPr>
          <w:rFonts w:ascii="Times New Roman" w:hAnsi="Times New Roman"/>
          <w:b w:val="0"/>
          <w:i w:val="0"/>
          <w:sz w:val="22"/>
        </w:rPr>
        <w:t>Bu sonuçlar, dış paydaşların Veteriner Fakültesi programını genel olarak olumlu değerlendirdiğini göstermektedir. Bununla birlikte kararsız görüş oranının dikkate değer düzeyde olması; mezun yeterlilikleri, uygulama olanakları, teknoloji ve yenilikçilik, sektörle temas ve dış paydaş katkısının izlenmesi gibi alanlarda sürekli iyileştirme çalışmalarının önemini ortaya koymaktadır.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4703"/>
        <w:gridCol w:w="4703"/>
      </w:tblGrid>
      <w:tr>
        <w:tc>
          <w:tcPr>
            <w:tcW w:type="dxa" w:w="4703"/>
            <w:vAlign w:val="center"/>
            <w:shd w:fill="D9EAF7"/>
          </w:tcPr>
          <w:p>
            <w:pPr>
              <w:spacing w:after="0"/>
              <w:jc w:val="center"/>
            </w:pPr>
            <w:r/>
            <w:r>
              <w:rPr>
                <w:rFonts w:ascii="Times New Roman" w:hAnsi="Times New Roman"/>
                <w:b/>
                <w:sz w:val="18"/>
              </w:rPr>
              <w:t>Gösterge</w:t>
            </w:r>
          </w:p>
        </w:tc>
        <w:tc>
          <w:tcPr>
            <w:tcW w:type="dxa" w:w="4703"/>
            <w:vAlign w:val="center"/>
            <w:shd w:fill="D9EAF7"/>
          </w:tcPr>
          <w:p>
            <w:pPr>
              <w:spacing w:after="0"/>
              <w:jc w:val="center"/>
            </w:pPr>
            <w:r/>
            <w:r>
              <w:rPr>
                <w:rFonts w:ascii="Times New Roman" w:hAnsi="Times New Roman"/>
                <w:b/>
                <w:sz w:val="18"/>
              </w:rPr>
              <w:t>Değer</w:t>
            </w:r>
          </w:p>
        </w:tc>
      </w:tr>
      <w:tr>
        <w:tc>
          <w:tcPr>
            <w:tcW w:type="dxa" w:w="4703"/>
            <w:vAlign w:val="center"/>
          </w:tcPr>
          <w:p>
            <w:pPr>
              <w:spacing w:after="0"/>
              <w:jc w:val="center"/>
            </w:pPr>
            <w:r/>
            <w:r>
              <w:rPr>
                <w:rFonts w:ascii="Times New Roman" w:hAnsi="Times New Roman"/>
                <w:b w:val="0"/>
                <w:sz w:val="18"/>
              </w:rPr>
              <w:t>Katılımcı Sayısı</w:t>
            </w:r>
          </w:p>
        </w:tc>
        <w:tc>
          <w:tcPr>
            <w:tcW w:type="dxa" w:w="4703"/>
            <w:vAlign w:val="center"/>
          </w:tcPr>
          <w:p>
            <w:pPr>
              <w:spacing w:after="0"/>
              <w:jc w:val="center"/>
            </w:pPr>
            <w:r/>
            <w:r>
              <w:rPr>
                <w:rFonts w:ascii="Times New Roman" w:hAnsi="Times New Roman"/>
                <w:b w:val="0"/>
                <w:sz w:val="18"/>
              </w:rPr>
              <w:t>11</w:t>
            </w:r>
          </w:p>
        </w:tc>
      </w:tr>
      <w:tr>
        <w:tc>
          <w:tcPr>
            <w:tcW w:type="dxa" w:w="4703"/>
            <w:vAlign w:val="center"/>
          </w:tcPr>
          <w:p>
            <w:pPr>
              <w:spacing w:after="0"/>
              <w:jc w:val="left"/>
            </w:pPr>
            <w:r/>
            <w:r>
              <w:rPr>
                <w:rFonts w:ascii="Times New Roman" w:hAnsi="Times New Roman"/>
                <w:b w:val="0"/>
                <w:sz w:val="18"/>
              </w:rPr>
              <w:t>Değerlendirilen Likert Madde Sayısı</w:t>
            </w:r>
          </w:p>
        </w:tc>
        <w:tc>
          <w:tcPr>
            <w:tcW w:type="dxa" w:w="4703"/>
            <w:vAlign w:val="center"/>
          </w:tcPr>
          <w:p>
            <w:pPr>
              <w:spacing w:after="0"/>
              <w:jc w:val="center"/>
            </w:pPr>
            <w:r/>
            <w:r>
              <w:rPr>
                <w:rFonts w:ascii="Times New Roman" w:hAnsi="Times New Roman"/>
                <w:b w:val="0"/>
                <w:sz w:val="18"/>
              </w:rPr>
              <w:t>22</w:t>
            </w:r>
          </w:p>
        </w:tc>
      </w:tr>
      <w:tr>
        <w:tc>
          <w:tcPr>
            <w:tcW w:type="dxa" w:w="4703"/>
            <w:vAlign w:val="center"/>
          </w:tcPr>
          <w:p>
            <w:pPr>
              <w:spacing w:after="0"/>
              <w:jc w:val="center"/>
            </w:pPr>
            <w:r/>
            <w:r>
              <w:rPr>
                <w:rFonts w:ascii="Times New Roman" w:hAnsi="Times New Roman"/>
                <w:b w:val="0"/>
                <w:sz w:val="18"/>
              </w:rPr>
              <w:t>Genel Ortalama</w:t>
            </w:r>
          </w:p>
        </w:tc>
        <w:tc>
          <w:tcPr>
            <w:tcW w:type="dxa" w:w="4703"/>
            <w:vAlign w:val="center"/>
          </w:tcPr>
          <w:p>
            <w:pPr>
              <w:spacing w:after="0"/>
              <w:jc w:val="center"/>
            </w:pPr>
            <w:r/>
            <w:r>
              <w:rPr>
                <w:rFonts w:ascii="Times New Roman" w:hAnsi="Times New Roman"/>
                <w:b w:val="0"/>
                <w:sz w:val="18"/>
              </w:rPr>
              <w:t>4,03 / 5,00</w:t>
            </w:r>
          </w:p>
        </w:tc>
      </w:tr>
      <w:tr>
        <w:tc>
          <w:tcPr>
            <w:tcW w:type="dxa" w:w="4703"/>
            <w:vAlign w:val="center"/>
          </w:tcPr>
          <w:p>
            <w:pPr>
              <w:spacing w:after="0"/>
              <w:jc w:val="center"/>
            </w:pPr>
            <w:r/>
            <w:r>
              <w:rPr>
                <w:rFonts w:ascii="Times New Roman" w:hAnsi="Times New Roman"/>
                <w:b w:val="0"/>
                <w:sz w:val="18"/>
              </w:rPr>
              <w:t>Olumlu Görüş Oranı</w:t>
            </w:r>
          </w:p>
        </w:tc>
        <w:tc>
          <w:tcPr>
            <w:tcW w:type="dxa" w:w="4703"/>
            <w:vAlign w:val="center"/>
          </w:tcPr>
          <w:p>
            <w:pPr>
              <w:spacing w:after="0"/>
              <w:jc w:val="center"/>
            </w:pPr>
            <w:r/>
            <w:r>
              <w:rPr>
                <w:rFonts w:ascii="Times New Roman" w:hAnsi="Times New Roman"/>
                <w:b w:val="0"/>
                <w:sz w:val="18"/>
              </w:rPr>
              <w:t>%69,4</w:t>
            </w:r>
          </w:p>
        </w:tc>
      </w:tr>
      <w:tr>
        <w:tc>
          <w:tcPr>
            <w:tcW w:type="dxa" w:w="4703"/>
            <w:vAlign w:val="center"/>
          </w:tcPr>
          <w:p>
            <w:pPr>
              <w:spacing w:after="0"/>
              <w:jc w:val="left"/>
            </w:pPr>
            <w:r/>
            <w:r>
              <w:rPr>
                <w:rFonts w:ascii="Times New Roman" w:hAnsi="Times New Roman"/>
                <w:b w:val="0"/>
                <w:sz w:val="18"/>
              </w:rPr>
              <w:t>Kararsız Görüş Oranı</w:t>
            </w:r>
          </w:p>
        </w:tc>
        <w:tc>
          <w:tcPr>
            <w:tcW w:type="dxa" w:w="4703"/>
            <w:vAlign w:val="center"/>
          </w:tcPr>
          <w:p>
            <w:pPr>
              <w:spacing w:after="0"/>
              <w:jc w:val="center"/>
            </w:pPr>
            <w:r/>
            <w:r>
              <w:rPr>
                <w:rFonts w:ascii="Times New Roman" w:hAnsi="Times New Roman"/>
                <w:b w:val="0"/>
                <w:sz w:val="18"/>
              </w:rPr>
              <w:t>%29,3</w:t>
            </w:r>
          </w:p>
        </w:tc>
      </w:tr>
      <w:tr>
        <w:tc>
          <w:tcPr>
            <w:tcW w:type="dxa" w:w="4703"/>
            <w:vAlign w:val="center"/>
          </w:tcPr>
          <w:p>
            <w:pPr>
              <w:spacing w:after="0"/>
              <w:jc w:val="center"/>
            </w:pPr>
            <w:r/>
            <w:r>
              <w:rPr>
                <w:rFonts w:ascii="Times New Roman" w:hAnsi="Times New Roman"/>
                <w:b w:val="0"/>
                <w:sz w:val="18"/>
              </w:rPr>
              <w:t>Olumsuz Görüş Oranı</w:t>
            </w:r>
          </w:p>
        </w:tc>
        <w:tc>
          <w:tcPr>
            <w:tcW w:type="dxa" w:w="4703"/>
            <w:vAlign w:val="center"/>
          </w:tcPr>
          <w:p>
            <w:pPr>
              <w:spacing w:after="0"/>
              <w:jc w:val="center"/>
            </w:pPr>
            <w:r/>
            <w:r>
              <w:rPr>
                <w:rFonts w:ascii="Times New Roman" w:hAnsi="Times New Roman"/>
                <w:b w:val="0"/>
                <w:sz w:val="18"/>
              </w:rPr>
              <w:t>%1,2</w:t>
            </w:r>
          </w:p>
        </w:tc>
      </w:tr>
    </w:tbl>
    <w:p>
      <w:pPr>
        <w:spacing w:after="160"/>
        <w:jc w:val="center"/>
      </w:pPr>
      <w:r>
        <w:drawing>
          <wp:inline xmlns:a="http://schemas.openxmlformats.org/drawingml/2006/main" xmlns:pic="http://schemas.openxmlformats.org/drawingml/2006/picture">
            <wp:extent cx="5303520" cy="3182112"/>
            <wp:docPr id="1" name="Picture 1"/>
            <wp:cNvGraphicFramePr>
              <a:graphicFrameLocks noChangeAspect="1"/>
            </wp:cNvGraphicFramePr>
            <a:graphic>
              <a:graphicData uri="http://schemas.openxmlformats.org/drawingml/2006/picture">
                <pic:pic>
                  <pic:nvPicPr>
                    <pic:cNvPr id="0" name="genel_yanit_dagilimi.png"/>
                    <pic:cNvPicPr/>
                  </pic:nvPicPr>
                  <pic:blipFill>
                    <a:blip r:embed="rId9"/>
                    <a:stretch>
                      <a:fillRect/>
                    </a:stretch>
                  </pic:blipFill>
                  <pic:spPr>
                    <a:xfrm>
                      <a:off x="0" y="0"/>
                      <a:ext cx="5303520" cy="3182112"/>
                    </a:xfrm>
                    <a:prstGeom prst="rect"/>
                  </pic:spPr>
                </pic:pic>
              </a:graphicData>
            </a:graphic>
          </wp:inline>
        </w:drawing>
      </w:r>
    </w:p>
    <w:p>
      <w:pPr>
        <w:pStyle w:val="Heading1"/>
        <w:spacing w:before="160" w:after="120"/>
      </w:pPr>
      <w:r>
        <w:rPr>
          <w:rFonts w:ascii="Times New Roman" w:hAnsi="Times New Roman"/>
          <w:b/>
          <w:color w:val="1F4E79"/>
          <w:sz w:val="30"/>
        </w:rPr>
        <w:t>4. Paydaş Dağılımının Değerlendirilmesi</w:t>
      </w:r>
    </w:p>
    <w:p>
      <w:pPr>
        <w:spacing w:after="120" w:line="259" w:lineRule="auto"/>
        <w:ind w:firstLine="425"/>
      </w:pPr>
      <w:r>
        <w:rPr>
          <w:rFonts w:ascii="Times New Roman" w:hAnsi="Times New Roman"/>
          <w:b w:val="0"/>
          <w:i w:val="0"/>
          <w:sz w:val="22"/>
        </w:rPr>
        <w:t>Paydaş dağılımı incelendiğinde ankete katılanların büyük çoğunluğunun kamu kurumu temsilcilerinden oluştuğu görülmektedir. Katılımcıların 9'u (%81,8) kamu kurumundan, 1'i (%9,1) veteriner kliniği/hayvan hastanesi alanından ve 1'i (%9,1) özel sektörden katılım sağlamıştır.</w:t>
      </w:r>
    </w:p>
    <w:p>
      <w:pPr>
        <w:spacing w:after="120" w:line="259" w:lineRule="auto"/>
        <w:ind w:firstLine="425"/>
      </w:pPr>
      <w:r>
        <w:rPr>
          <w:rFonts w:ascii="Times New Roman" w:hAnsi="Times New Roman"/>
          <w:b w:val="0"/>
          <w:i w:val="0"/>
          <w:sz w:val="22"/>
        </w:rPr>
        <w:t>Bu dağılım, anket sonuçlarının ağırlıklı olarak kamu kurumlarının bakış açısını yansıttığını göstermektedir. Özel sektör, klinik/hayvan hastanesi ve mezun istihdamı sağlayan paydaşların katılımının ilerleyen dönemlerde artırılması, programın sektörün farklı alanları açısından daha kapsamlı değerlendirilmesine katkı sağlayacaktır.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left"/>
            </w:pPr>
            <w:r/>
            <w:r>
              <w:rPr>
                <w:rFonts w:ascii="Times New Roman" w:hAnsi="Times New Roman"/>
                <w:b/>
                <w:sz w:val="18"/>
              </w:rPr>
              <w:t>Kurum / Kuruluş Türü</w:t>
            </w:r>
          </w:p>
        </w:tc>
        <w:tc>
          <w:tcPr>
            <w:tcW w:type="dxa" w:w="3135"/>
            <w:vAlign w:val="center"/>
            <w:shd w:fill="D9EAF7"/>
          </w:tcPr>
          <w:p>
            <w:pPr>
              <w:spacing w:after="0"/>
              <w:jc w:val="center"/>
            </w:pPr>
            <w:r/>
            <w:r>
              <w:rPr>
                <w:rFonts w:ascii="Times New Roman" w:hAnsi="Times New Roman"/>
                <w:b/>
                <w:sz w:val="18"/>
              </w:rPr>
              <w:t>Katılımcı Sayısı</w:t>
            </w:r>
          </w:p>
        </w:tc>
        <w:tc>
          <w:tcPr>
            <w:tcW w:type="dxa" w:w="3135"/>
            <w:vAlign w:val="center"/>
            <w:shd w:fill="D9EAF7"/>
          </w:tcPr>
          <w:p>
            <w:pPr>
              <w:spacing w:after="0"/>
              <w:jc w:val="center"/>
            </w:pPr>
            <w:r/>
            <w:r>
              <w:rPr>
                <w:rFonts w:ascii="Times New Roman" w:hAnsi="Times New Roman"/>
                <w:b/>
                <w:sz w:val="18"/>
              </w:rPr>
              <w:t>Oran</w:t>
            </w:r>
          </w:p>
        </w:tc>
      </w:tr>
      <w:tr>
        <w:tc>
          <w:tcPr>
            <w:tcW w:type="dxa" w:w="3135"/>
            <w:vAlign w:val="center"/>
          </w:tcPr>
          <w:p>
            <w:pPr>
              <w:spacing w:after="0"/>
              <w:jc w:val="left"/>
            </w:pPr>
            <w:r/>
            <w:r>
              <w:rPr>
                <w:rFonts w:ascii="Times New Roman" w:hAnsi="Times New Roman"/>
                <w:b w:val="0"/>
                <w:sz w:val="18"/>
              </w:rPr>
              <w:t>Veteriner Kliniği / Hayvan Hastanesi</w:t>
            </w:r>
          </w:p>
        </w:tc>
        <w:tc>
          <w:tcPr>
            <w:tcW w:type="dxa" w:w="3135"/>
            <w:vAlign w:val="center"/>
          </w:tcPr>
          <w:p>
            <w:pPr>
              <w:spacing w:after="0"/>
              <w:jc w:val="center"/>
            </w:pPr>
            <w:r/>
            <w:r>
              <w:rPr>
                <w:rFonts w:ascii="Times New Roman" w:hAnsi="Times New Roman"/>
                <w:b w:val="0"/>
                <w:sz w:val="18"/>
              </w:rPr>
              <w:t>1</w:t>
            </w:r>
          </w:p>
        </w:tc>
        <w:tc>
          <w:tcPr>
            <w:tcW w:type="dxa" w:w="3135"/>
            <w:vAlign w:val="center"/>
          </w:tcPr>
          <w:p>
            <w:pPr>
              <w:spacing w:after="0"/>
              <w:jc w:val="center"/>
            </w:pPr>
            <w:r/>
            <w:r>
              <w:rPr>
                <w:rFonts w:ascii="Times New Roman" w:hAnsi="Times New Roman"/>
                <w:b w:val="0"/>
                <w:sz w:val="18"/>
              </w:rPr>
              <w:t>%9,1</w:t>
            </w:r>
          </w:p>
        </w:tc>
      </w:tr>
      <w:tr>
        <w:tc>
          <w:tcPr>
            <w:tcW w:type="dxa" w:w="3135"/>
            <w:vAlign w:val="center"/>
          </w:tcPr>
          <w:p>
            <w:pPr>
              <w:spacing w:after="0"/>
              <w:jc w:val="center"/>
            </w:pPr>
            <w:r/>
            <w:r>
              <w:rPr>
                <w:rFonts w:ascii="Times New Roman" w:hAnsi="Times New Roman"/>
                <w:b w:val="0"/>
                <w:sz w:val="18"/>
              </w:rPr>
              <w:t>Kamu Kurumu</w:t>
            </w:r>
          </w:p>
        </w:tc>
        <w:tc>
          <w:tcPr>
            <w:tcW w:type="dxa" w:w="3135"/>
            <w:vAlign w:val="center"/>
          </w:tcPr>
          <w:p>
            <w:pPr>
              <w:spacing w:after="0"/>
              <w:jc w:val="center"/>
            </w:pPr>
            <w:r/>
            <w:r>
              <w:rPr>
                <w:rFonts w:ascii="Times New Roman" w:hAnsi="Times New Roman"/>
                <w:b w:val="0"/>
                <w:sz w:val="18"/>
              </w:rPr>
              <w:t>9</w:t>
            </w:r>
          </w:p>
        </w:tc>
        <w:tc>
          <w:tcPr>
            <w:tcW w:type="dxa" w:w="3135"/>
            <w:vAlign w:val="center"/>
          </w:tcPr>
          <w:p>
            <w:pPr>
              <w:spacing w:after="0"/>
              <w:jc w:val="center"/>
            </w:pPr>
            <w:r/>
            <w:r>
              <w:rPr>
                <w:rFonts w:ascii="Times New Roman" w:hAnsi="Times New Roman"/>
                <w:b w:val="0"/>
                <w:sz w:val="18"/>
              </w:rPr>
              <w:t>%81,8</w:t>
            </w:r>
          </w:p>
        </w:tc>
      </w:tr>
      <w:tr>
        <w:tc>
          <w:tcPr>
            <w:tcW w:type="dxa" w:w="3135"/>
            <w:vAlign w:val="center"/>
          </w:tcPr>
          <w:p>
            <w:pPr>
              <w:spacing w:after="0"/>
              <w:jc w:val="center"/>
            </w:pPr>
            <w:r/>
            <w:r>
              <w:rPr>
                <w:rFonts w:ascii="Times New Roman" w:hAnsi="Times New Roman"/>
                <w:b w:val="0"/>
                <w:sz w:val="18"/>
              </w:rPr>
              <w:t>Özel Sektör</w:t>
            </w:r>
          </w:p>
        </w:tc>
        <w:tc>
          <w:tcPr>
            <w:tcW w:type="dxa" w:w="3135"/>
            <w:vAlign w:val="center"/>
          </w:tcPr>
          <w:p>
            <w:pPr>
              <w:spacing w:after="0"/>
              <w:jc w:val="center"/>
            </w:pPr>
            <w:r/>
            <w:r>
              <w:rPr>
                <w:rFonts w:ascii="Times New Roman" w:hAnsi="Times New Roman"/>
                <w:b w:val="0"/>
                <w:sz w:val="18"/>
              </w:rPr>
              <w:t>1</w:t>
            </w:r>
          </w:p>
        </w:tc>
        <w:tc>
          <w:tcPr>
            <w:tcW w:type="dxa" w:w="3135"/>
            <w:vAlign w:val="center"/>
          </w:tcPr>
          <w:p>
            <w:pPr>
              <w:spacing w:after="0"/>
              <w:jc w:val="center"/>
            </w:pPr>
            <w:r/>
            <w:r>
              <w:rPr>
                <w:rFonts w:ascii="Times New Roman" w:hAnsi="Times New Roman"/>
                <w:b w:val="0"/>
                <w:sz w:val="18"/>
              </w:rPr>
              <w:t>%9,1</w:t>
            </w:r>
          </w:p>
        </w:tc>
      </w:tr>
    </w:tbl>
    <w:p>
      <w:pPr>
        <w:spacing w:after="160"/>
        <w:jc w:val="center"/>
      </w:pPr>
      <w:r>
        <w:drawing>
          <wp:inline xmlns:a="http://schemas.openxmlformats.org/drawingml/2006/main" xmlns:pic="http://schemas.openxmlformats.org/drawingml/2006/picture">
            <wp:extent cx="5120640" cy="3072384"/>
            <wp:docPr id="2" name="Picture 2"/>
            <wp:cNvGraphicFramePr>
              <a:graphicFrameLocks noChangeAspect="1"/>
            </wp:cNvGraphicFramePr>
            <a:graphic>
              <a:graphicData uri="http://schemas.openxmlformats.org/drawingml/2006/picture">
                <pic:pic>
                  <pic:nvPicPr>
                    <pic:cNvPr id="0" name="kurum_turu_dagilimi.png"/>
                    <pic:cNvPicPr/>
                  </pic:nvPicPr>
                  <pic:blipFill>
                    <a:blip r:embed="rId10"/>
                    <a:stretch>
                      <a:fillRect/>
                    </a:stretch>
                  </pic:blipFill>
                  <pic:spPr>
                    <a:xfrm>
                      <a:off x="0" y="0"/>
                      <a:ext cx="5120640" cy="3072384"/>
                    </a:xfrm>
                    <a:prstGeom prst="rect"/>
                  </pic:spPr>
                </pic:pic>
              </a:graphicData>
            </a:graphic>
          </wp:inline>
        </w:drawing>
      </w:r>
    </w:p>
    <w:p>
      <w:pPr>
        <w:spacing w:after="120" w:line="259" w:lineRule="auto"/>
        <w:ind w:firstLine="425"/>
      </w:pPr>
      <w:r>
        <w:rPr>
          <w:rFonts w:ascii="Times New Roman" w:hAnsi="Times New Roman"/>
          <w:b w:val="0"/>
          <w:i w:val="0"/>
          <w:sz w:val="22"/>
        </w:rPr>
        <w:t>Fakülte ile iş birliği alanları incelendiğinde teknik danışmanlık ve ortak proje/araştırma alanlarının öne çıktığı görülmektedir. Bunun yanında staj/uygulama eğitimi, eğitim/seminer faaliyetleri ve mezun istihdamı başlıklarında da paydaş teması bulunmaktadır. Bu yapı, fakültenin dış paydaşlarla yalnızca eğitim süreci kapsamında değil, aynı zamanda teknik danışmanlık ve araştırma temelli iş birlikleri üzerinden de ilişki kurduğunu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8"/>
              </w:rPr>
              <w:t>İş Birliği Alanı</w:t>
            </w:r>
          </w:p>
        </w:tc>
        <w:tc>
          <w:tcPr>
            <w:tcW w:type="dxa" w:w="3135"/>
            <w:vAlign w:val="center"/>
            <w:shd w:fill="D9EAF7"/>
          </w:tcPr>
          <w:p>
            <w:pPr>
              <w:spacing w:after="0"/>
              <w:jc w:val="center"/>
            </w:pPr>
            <w:r/>
            <w:r>
              <w:rPr>
                <w:rFonts w:ascii="Times New Roman" w:hAnsi="Times New Roman"/>
                <w:b/>
                <w:sz w:val="18"/>
              </w:rPr>
              <w:t>Yanıt Sayısı</w:t>
            </w:r>
          </w:p>
        </w:tc>
        <w:tc>
          <w:tcPr>
            <w:tcW w:type="dxa" w:w="3135"/>
            <w:vAlign w:val="center"/>
            <w:shd w:fill="D9EAF7"/>
          </w:tcPr>
          <w:p>
            <w:pPr>
              <w:spacing w:after="0"/>
              <w:jc w:val="left"/>
            </w:pPr>
            <w:r/>
            <w:r>
              <w:rPr>
                <w:rFonts w:ascii="Times New Roman" w:hAnsi="Times New Roman"/>
                <w:b/>
                <w:sz w:val="18"/>
              </w:rPr>
              <w:t>Katılımcı Oranına Göre</w:t>
            </w:r>
          </w:p>
        </w:tc>
      </w:tr>
      <w:tr>
        <w:tc>
          <w:tcPr>
            <w:tcW w:type="dxa" w:w="3135"/>
            <w:vAlign w:val="center"/>
          </w:tcPr>
          <w:p>
            <w:pPr>
              <w:spacing w:after="0"/>
              <w:jc w:val="center"/>
            </w:pPr>
            <w:r/>
            <w:r>
              <w:rPr>
                <w:rFonts w:ascii="Times New Roman" w:hAnsi="Times New Roman"/>
                <w:b w:val="0"/>
                <w:sz w:val="18"/>
              </w:rPr>
              <w:t>Teknik Danışmanlık</w:t>
            </w:r>
          </w:p>
        </w:tc>
        <w:tc>
          <w:tcPr>
            <w:tcW w:type="dxa" w:w="3135"/>
            <w:vAlign w:val="center"/>
          </w:tcPr>
          <w:p>
            <w:pPr>
              <w:spacing w:after="0"/>
              <w:jc w:val="center"/>
            </w:pPr>
            <w:r/>
            <w:r>
              <w:rPr>
                <w:rFonts w:ascii="Times New Roman" w:hAnsi="Times New Roman"/>
                <w:b w:val="0"/>
                <w:sz w:val="18"/>
              </w:rPr>
              <w:t>4</w:t>
            </w:r>
          </w:p>
        </w:tc>
        <w:tc>
          <w:tcPr>
            <w:tcW w:type="dxa" w:w="3135"/>
            <w:vAlign w:val="center"/>
          </w:tcPr>
          <w:p>
            <w:pPr>
              <w:spacing w:after="0"/>
              <w:jc w:val="center"/>
            </w:pPr>
            <w:r/>
            <w:r>
              <w:rPr>
                <w:rFonts w:ascii="Times New Roman" w:hAnsi="Times New Roman"/>
                <w:b w:val="0"/>
                <w:sz w:val="18"/>
              </w:rPr>
              <w:t>%36,4</w:t>
            </w:r>
          </w:p>
        </w:tc>
      </w:tr>
      <w:tr>
        <w:tc>
          <w:tcPr>
            <w:tcW w:type="dxa" w:w="3135"/>
            <w:vAlign w:val="center"/>
          </w:tcPr>
          <w:p>
            <w:pPr>
              <w:spacing w:after="0"/>
              <w:jc w:val="left"/>
            </w:pPr>
            <w:r/>
            <w:r>
              <w:rPr>
                <w:rFonts w:ascii="Times New Roman" w:hAnsi="Times New Roman"/>
                <w:b w:val="0"/>
                <w:sz w:val="18"/>
              </w:rPr>
              <w:t>Staj / Uygulama Eğitimi</w:t>
            </w:r>
          </w:p>
        </w:tc>
        <w:tc>
          <w:tcPr>
            <w:tcW w:type="dxa" w:w="3135"/>
            <w:vAlign w:val="center"/>
          </w:tcPr>
          <w:p>
            <w:pPr>
              <w:spacing w:after="0"/>
              <w:jc w:val="center"/>
            </w:pPr>
            <w:r/>
            <w:r>
              <w:rPr>
                <w:rFonts w:ascii="Times New Roman" w:hAnsi="Times New Roman"/>
                <w:b w:val="0"/>
                <w:sz w:val="18"/>
              </w:rPr>
              <w:t>2</w:t>
            </w:r>
          </w:p>
        </w:tc>
        <w:tc>
          <w:tcPr>
            <w:tcW w:type="dxa" w:w="3135"/>
            <w:vAlign w:val="center"/>
          </w:tcPr>
          <w:p>
            <w:pPr>
              <w:spacing w:after="0"/>
              <w:jc w:val="center"/>
            </w:pPr>
            <w:r/>
            <w:r>
              <w:rPr>
                <w:rFonts w:ascii="Times New Roman" w:hAnsi="Times New Roman"/>
                <w:b w:val="0"/>
                <w:sz w:val="18"/>
              </w:rPr>
              <w:t>%18,2</w:t>
            </w:r>
          </w:p>
        </w:tc>
      </w:tr>
      <w:tr>
        <w:tc>
          <w:tcPr>
            <w:tcW w:type="dxa" w:w="3135"/>
            <w:vAlign w:val="center"/>
          </w:tcPr>
          <w:p>
            <w:pPr>
              <w:spacing w:after="0"/>
              <w:jc w:val="left"/>
            </w:pPr>
            <w:r/>
            <w:r>
              <w:rPr>
                <w:rFonts w:ascii="Times New Roman" w:hAnsi="Times New Roman"/>
                <w:b w:val="0"/>
                <w:sz w:val="18"/>
              </w:rPr>
              <w:t>Eğitim / Seminer Faaliyetleri</w:t>
            </w:r>
          </w:p>
        </w:tc>
        <w:tc>
          <w:tcPr>
            <w:tcW w:type="dxa" w:w="3135"/>
            <w:vAlign w:val="center"/>
          </w:tcPr>
          <w:p>
            <w:pPr>
              <w:spacing w:after="0"/>
              <w:jc w:val="center"/>
            </w:pPr>
            <w:r/>
            <w:r>
              <w:rPr>
                <w:rFonts w:ascii="Times New Roman" w:hAnsi="Times New Roman"/>
                <w:b w:val="0"/>
                <w:sz w:val="18"/>
              </w:rPr>
              <w:t>2</w:t>
            </w:r>
          </w:p>
        </w:tc>
        <w:tc>
          <w:tcPr>
            <w:tcW w:type="dxa" w:w="3135"/>
            <w:vAlign w:val="center"/>
          </w:tcPr>
          <w:p>
            <w:pPr>
              <w:spacing w:after="0"/>
              <w:jc w:val="center"/>
            </w:pPr>
            <w:r/>
            <w:r>
              <w:rPr>
                <w:rFonts w:ascii="Times New Roman" w:hAnsi="Times New Roman"/>
                <w:b w:val="0"/>
                <w:sz w:val="18"/>
              </w:rPr>
              <w:t>%18,2</w:t>
            </w:r>
          </w:p>
        </w:tc>
      </w:tr>
      <w:tr>
        <w:tc>
          <w:tcPr>
            <w:tcW w:type="dxa" w:w="3135"/>
            <w:vAlign w:val="center"/>
          </w:tcPr>
          <w:p>
            <w:pPr>
              <w:spacing w:after="0"/>
              <w:jc w:val="left"/>
            </w:pPr>
            <w:r/>
            <w:r>
              <w:rPr>
                <w:rFonts w:ascii="Times New Roman" w:hAnsi="Times New Roman"/>
                <w:b w:val="0"/>
                <w:sz w:val="18"/>
              </w:rPr>
              <w:t>Ortak Proje / Araştırma</w:t>
            </w:r>
          </w:p>
        </w:tc>
        <w:tc>
          <w:tcPr>
            <w:tcW w:type="dxa" w:w="3135"/>
            <w:vAlign w:val="center"/>
          </w:tcPr>
          <w:p>
            <w:pPr>
              <w:spacing w:after="0"/>
              <w:jc w:val="center"/>
            </w:pPr>
            <w:r/>
            <w:r>
              <w:rPr>
                <w:rFonts w:ascii="Times New Roman" w:hAnsi="Times New Roman"/>
                <w:b w:val="0"/>
                <w:sz w:val="18"/>
              </w:rPr>
              <w:t>4</w:t>
            </w:r>
          </w:p>
        </w:tc>
        <w:tc>
          <w:tcPr>
            <w:tcW w:type="dxa" w:w="3135"/>
            <w:vAlign w:val="center"/>
          </w:tcPr>
          <w:p>
            <w:pPr>
              <w:spacing w:after="0"/>
              <w:jc w:val="center"/>
            </w:pPr>
            <w:r/>
            <w:r>
              <w:rPr>
                <w:rFonts w:ascii="Times New Roman" w:hAnsi="Times New Roman"/>
                <w:b w:val="0"/>
                <w:sz w:val="18"/>
              </w:rPr>
              <w:t>%36,4</w:t>
            </w:r>
          </w:p>
        </w:tc>
      </w:tr>
      <w:tr>
        <w:tc>
          <w:tcPr>
            <w:tcW w:type="dxa" w:w="3135"/>
            <w:vAlign w:val="center"/>
          </w:tcPr>
          <w:p>
            <w:pPr>
              <w:spacing w:after="0"/>
              <w:jc w:val="center"/>
            </w:pPr>
            <w:r/>
            <w:r>
              <w:rPr>
                <w:rFonts w:ascii="Times New Roman" w:hAnsi="Times New Roman"/>
                <w:b w:val="0"/>
                <w:sz w:val="18"/>
              </w:rPr>
              <w:t>Mezun İstihdamı</w:t>
            </w:r>
          </w:p>
        </w:tc>
        <w:tc>
          <w:tcPr>
            <w:tcW w:type="dxa" w:w="3135"/>
            <w:vAlign w:val="center"/>
          </w:tcPr>
          <w:p>
            <w:pPr>
              <w:spacing w:after="0"/>
              <w:jc w:val="center"/>
            </w:pPr>
            <w:r/>
            <w:r>
              <w:rPr>
                <w:rFonts w:ascii="Times New Roman" w:hAnsi="Times New Roman"/>
                <w:b w:val="0"/>
                <w:sz w:val="18"/>
              </w:rPr>
              <w:t>1</w:t>
            </w:r>
          </w:p>
        </w:tc>
        <w:tc>
          <w:tcPr>
            <w:tcW w:type="dxa" w:w="3135"/>
            <w:vAlign w:val="center"/>
          </w:tcPr>
          <w:p>
            <w:pPr>
              <w:spacing w:after="0"/>
              <w:jc w:val="center"/>
            </w:pPr>
            <w:r/>
            <w:r>
              <w:rPr>
                <w:rFonts w:ascii="Times New Roman" w:hAnsi="Times New Roman"/>
                <w:b w:val="0"/>
                <w:sz w:val="18"/>
              </w:rPr>
              <w:t>%9,1</w:t>
            </w:r>
          </w:p>
        </w:tc>
      </w:tr>
    </w:tbl>
    <w:p>
      <w:pPr>
        <w:spacing w:after="160"/>
        <w:jc w:val="center"/>
      </w:pPr>
      <w:r>
        <w:drawing>
          <wp:inline xmlns:a="http://schemas.openxmlformats.org/drawingml/2006/main" xmlns:pic="http://schemas.openxmlformats.org/drawingml/2006/picture">
            <wp:extent cx="5120640" cy="3072384"/>
            <wp:docPr id="3" name="Picture 3"/>
            <wp:cNvGraphicFramePr>
              <a:graphicFrameLocks noChangeAspect="1"/>
            </wp:cNvGraphicFramePr>
            <a:graphic>
              <a:graphicData uri="http://schemas.openxmlformats.org/drawingml/2006/picture">
                <pic:pic>
                  <pic:nvPicPr>
                    <pic:cNvPr id="0" name="is_birligi_alanlari.png"/>
                    <pic:cNvPicPr/>
                  </pic:nvPicPr>
                  <pic:blipFill>
                    <a:blip r:embed="rId11"/>
                    <a:stretch>
                      <a:fillRect/>
                    </a:stretch>
                  </pic:blipFill>
                  <pic:spPr>
                    <a:xfrm>
                      <a:off x="0" y="0"/>
                      <a:ext cx="5120640" cy="3072384"/>
                    </a:xfrm>
                    <a:prstGeom prst="rect"/>
                  </pic:spPr>
                </pic:pic>
              </a:graphicData>
            </a:graphic>
          </wp:inline>
        </w:drawing>
      </w:r>
    </w:p>
    <w:p>
      <w:pPr>
        <w:pStyle w:val="Heading1"/>
        <w:spacing w:before="160" w:after="120"/>
      </w:pPr>
      <w:r>
        <w:rPr>
          <w:rFonts w:ascii="Times New Roman" w:hAnsi="Times New Roman"/>
          <w:b/>
          <w:color w:val="1F4E79"/>
          <w:sz w:val="30"/>
        </w:rPr>
        <w:t>5. Dış Paydaş Program Değerlendirme Anketi Bulguları</w:t>
      </w:r>
    </w:p>
    <w:p>
      <w:pPr>
        <w:spacing w:after="120" w:line="259" w:lineRule="auto"/>
        <w:ind w:firstLine="425"/>
      </w:pPr>
      <w:r>
        <w:rPr>
          <w:rFonts w:ascii="Times New Roman" w:hAnsi="Times New Roman"/>
          <w:b w:val="0"/>
          <w:i w:val="0"/>
          <w:sz w:val="22"/>
        </w:rPr>
        <w:t>Bu bölümde dış paydaş program değerlendirme anketinde yer alan 22 Likert tipi maddeye ilişkin frekans, yüzde, ortalama puan ve olumlu-kararsız-olumsuz görüş oranları ayrıntılı olarak sunulmuştur.</w:t>
      </w:r>
    </w:p>
    <w:p>
      <w:pPr>
        <w:spacing w:after="160"/>
        <w:jc w:val="center"/>
      </w:pPr>
      <w:r>
        <w:drawing>
          <wp:inline xmlns:a="http://schemas.openxmlformats.org/drawingml/2006/main" xmlns:pic="http://schemas.openxmlformats.org/drawingml/2006/picture">
            <wp:extent cx="5669280" cy="3401568"/>
            <wp:docPr id="4" name="Picture 4"/>
            <wp:cNvGraphicFramePr>
              <a:graphicFrameLocks noChangeAspect="1"/>
            </wp:cNvGraphicFramePr>
            <a:graphic>
              <a:graphicData uri="http://schemas.openxmlformats.org/drawingml/2006/picture">
                <pic:pic>
                  <pic:nvPicPr>
                    <pic:cNvPr id="0" name="madde_ortalamalari.png"/>
                    <pic:cNvPicPr/>
                  </pic:nvPicPr>
                  <pic:blipFill>
                    <a:blip r:embed="rId12"/>
                    <a:stretch>
                      <a:fillRect/>
                    </a:stretch>
                  </pic:blipFill>
                  <pic:spPr>
                    <a:xfrm>
                      <a:off x="0" y="0"/>
                      <a:ext cx="5669280" cy="3401568"/>
                    </a:xfrm>
                    <a:prstGeom prst="rect"/>
                  </pic:spPr>
                </pic:pic>
              </a:graphicData>
            </a:graphic>
          </wp:inline>
        </w:drawing>
      </w:r>
    </w:p>
    <w:p>
      <w:pPr>
        <w:spacing w:after="160"/>
        <w:jc w:val="center"/>
      </w:pPr>
      <w:r>
        <w:drawing>
          <wp:inline xmlns:a="http://schemas.openxmlformats.org/drawingml/2006/main" xmlns:pic="http://schemas.openxmlformats.org/drawingml/2006/picture">
            <wp:extent cx="5669280" cy="3401568"/>
            <wp:docPr id="5" name="Picture 5"/>
            <wp:cNvGraphicFramePr>
              <a:graphicFrameLocks noChangeAspect="1"/>
            </wp:cNvGraphicFramePr>
            <a:graphic>
              <a:graphicData uri="http://schemas.openxmlformats.org/drawingml/2006/picture">
                <pic:pic>
                  <pic:nvPicPr>
                    <pic:cNvPr id="0" name="boyut_ortalamalari.png"/>
                    <pic:cNvPicPr/>
                  </pic:nvPicPr>
                  <pic:blipFill>
                    <a:blip r:embed="rId13"/>
                    <a:stretch>
                      <a:fillRect/>
                    </a:stretch>
                  </pic:blipFill>
                  <pic:spPr>
                    <a:xfrm>
                      <a:off x="0" y="0"/>
                      <a:ext cx="5669280" cy="3401568"/>
                    </a:xfrm>
                    <a:prstGeom prst="rect"/>
                  </pic:spPr>
                </pic:pic>
              </a:graphicData>
            </a:graphic>
          </wp:inline>
        </w:drawing>
      </w:r>
    </w:p>
    <w:p>
      <w:pPr>
        <w:spacing w:after="160"/>
        <w:jc w:val="center"/>
      </w:pPr>
      <w:r>
        <w:drawing>
          <wp:inline xmlns:a="http://schemas.openxmlformats.org/drawingml/2006/main" xmlns:pic="http://schemas.openxmlformats.org/drawingml/2006/picture">
            <wp:extent cx="5669280" cy="3401568"/>
            <wp:docPr id="6" name="Picture 6"/>
            <wp:cNvGraphicFramePr>
              <a:graphicFrameLocks noChangeAspect="1"/>
            </wp:cNvGraphicFramePr>
            <a:graphic>
              <a:graphicData uri="http://schemas.openxmlformats.org/drawingml/2006/picture">
                <pic:pic>
                  <pic:nvPicPr>
                    <pic:cNvPr id="0" name="boyut_olumlu_oran.png"/>
                    <pic:cNvPicPr/>
                  </pic:nvPicPr>
                  <pic:blipFill>
                    <a:blip r:embed="rId14"/>
                    <a:stretch>
                      <a:fillRect/>
                    </a:stretch>
                  </pic:blipFill>
                  <pic:spPr>
                    <a:xfrm>
                      <a:off x="0" y="0"/>
                      <a:ext cx="5669280" cy="3401568"/>
                    </a:xfrm>
                    <a:prstGeom prst="rect"/>
                  </pic:spPr>
                </pic:pic>
              </a:graphicData>
            </a:graphic>
          </wp:inline>
        </w:drawing>
      </w:r>
    </w:p>
    <w:p>
      <w:pPr>
        <w:pStyle w:val="Heading2"/>
        <w:spacing w:before="160" w:after="120"/>
      </w:pPr>
      <w:r>
        <w:rPr>
          <w:rFonts w:ascii="Times New Roman" w:hAnsi="Times New Roman"/>
          <w:b/>
          <w:color w:val="1F4E79"/>
          <w:sz w:val="26"/>
        </w:rPr>
        <w:t>5.1. Program Amacı ve Temel Yeterlilikler</w:t>
      </w:r>
    </w:p>
    <w:p>
      <w:pPr>
        <w:spacing w:after="120" w:line="259" w:lineRule="auto"/>
        <w:ind w:firstLine="425"/>
      </w:pPr>
      <w:r>
        <w:rPr>
          <w:rFonts w:ascii="Times New Roman" w:hAnsi="Times New Roman"/>
          <w:b w:val="0"/>
          <w:i w:val="0"/>
          <w:sz w:val="22"/>
        </w:rPr>
        <w:t>Bu boyutta 5 madde değerlendirilmiştir. Boyut ortalaması 4,20/5,00, olumlu görüş oranı %80,0, kararsız görüş oranı %20,0 ve olumsuz görüş oranı %0,0 olarak hesaplanmıştır.</w:t>
      </w:r>
    </w:p>
    <w:p>
      <w:pPr>
        <w:spacing w:after="120" w:line="259" w:lineRule="auto"/>
        <w:ind w:firstLine="425"/>
      </w:pPr>
      <w:r>
        <w:rPr>
          <w:rFonts w:ascii="Times New Roman" w:hAnsi="Times New Roman"/>
          <w:b w:val="0"/>
          <w:i w:val="0"/>
          <w:sz w:val="22"/>
        </w:rPr>
        <w:t>Bu boyut, programın sektör ihtiyaçlarıyla uyumu, mezunlardan beklenen temel mesleki bilgi, klinik ve uygulamalı beceriler, iş hayatına hazırlık ve toplumsal katkı/hayvan sağlığı bilinci açısından dış paydaş algısını ortaya koymaktadır.</w:t>
      </w:r>
    </w:p>
    <w:p>
      <w:pPr>
        <w:pStyle w:val="Heading3"/>
        <w:spacing w:before="160" w:after="120"/>
      </w:pPr>
      <w:r>
        <w:rPr>
          <w:rFonts w:ascii="Times New Roman" w:hAnsi="Times New Roman"/>
          <w:b/>
          <w:sz w:val="24"/>
        </w:rPr>
        <w:t>Madde 1’e İlişkin Bulgular</w:t>
      </w:r>
    </w:p>
    <w:p>
      <w:pPr>
        <w:spacing w:after="80" w:line="259" w:lineRule="auto"/>
      </w:pPr>
      <w:r>
        <w:rPr>
          <w:rFonts w:ascii="Times New Roman" w:hAnsi="Times New Roman"/>
          <w:b w:val="0"/>
          <w:i/>
          <w:sz w:val="22"/>
        </w:rPr>
        <w:t>(Veteriner Fakültesi programının genel amacı sektör ihtiyaçları ile uyumludur.)</w:t>
      </w:r>
    </w:p>
    <w:p>
      <w:pPr>
        <w:spacing w:after="120" w:line="259" w:lineRule="auto"/>
        <w:ind w:firstLine="425"/>
      </w:pPr>
      <w:r>
        <w:rPr>
          <w:rFonts w:ascii="Times New Roman" w:hAnsi="Times New Roman"/>
          <w:b w:val="0"/>
          <w:i w:val="0"/>
          <w:sz w:val="22"/>
        </w:rPr>
        <w:t>Katılımcıların; 5'i (%45,5) Kesinlikle Katılıyorum, 5'i (%45,5) Katılıyorum, 1'i (%9,1)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4,36/5,00 olması, olumlu görüş oranının %90,9, kararsız görüş oranının %9,1 ve olumsuz görüş oranının %0,0 düzeyinde gerçekleşmesi, Bu sonuç, ilgili alanda dış paydaş algısının güçlü düzeyde olumlu olduğunu ve mevcut program yapısının genel olarak başarılı değerlendirildiğini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4,36 / 5,00</w:t>
            </w:r>
          </w:p>
        </w:tc>
      </w:tr>
    </w:tbl>
    <w:p>
      <w:pPr>
        <w:spacing w:after="160"/>
        <w:jc w:val="center"/>
      </w:pPr>
      <w:r>
        <w:drawing>
          <wp:inline xmlns:a="http://schemas.openxmlformats.org/drawingml/2006/main" xmlns:pic="http://schemas.openxmlformats.org/drawingml/2006/picture">
            <wp:extent cx="4480560" cy="2688336"/>
            <wp:docPr id="7" name="Picture 7"/>
            <wp:cNvGraphicFramePr>
              <a:graphicFrameLocks noChangeAspect="1"/>
            </wp:cNvGraphicFramePr>
            <a:graphic>
              <a:graphicData uri="http://schemas.openxmlformats.org/drawingml/2006/picture">
                <pic:pic>
                  <pic:nvPicPr>
                    <pic:cNvPr id="0" name="madde_01.png"/>
                    <pic:cNvPicPr/>
                  </pic:nvPicPr>
                  <pic:blipFill>
                    <a:blip r:embed="rId15"/>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2’e İlişkin Bulgular</w:t>
      </w:r>
    </w:p>
    <w:p>
      <w:pPr>
        <w:spacing w:after="80" w:line="259" w:lineRule="auto"/>
      </w:pPr>
      <w:r>
        <w:rPr>
          <w:rFonts w:ascii="Times New Roman" w:hAnsi="Times New Roman"/>
          <w:b w:val="0"/>
          <w:i/>
          <w:sz w:val="22"/>
        </w:rPr>
        <w:t>(Mezunların sahip olması gereken mesleki bilgi düzeyi yeterince tanımlanmıştır.)</w:t>
      </w:r>
    </w:p>
    <w:p>
      <w:pPr>
        <w:spacing w:after="120" w:line="259" w:lineRule="auto"/>
        <w:ind w:firstLine="425"/>
      </w:pPr>
      <w:r>
        <w:rPr>
          <w:rFonts w:ascii="Times New Roman" w:hAnsi="Times New Roman"/>
          <w:b w:val="0"/>
          <w:i w:val="0"/>
          <w:sz w:val="22"/>
        </w:rPr>
        <w:t>Katılımcıların; 4'i (%36,4) Kesinlikle Katılıyorum, 4'i (%36,4)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4,09/5,00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4,09 / 5,00</w:t>
            </w:r>
          </w:p>
        </w:tc>
      </w:tr>
    </w:tbl>
    <w:p>
      <w:pPr>
        <w:spacing w:after="160"/>
        <w:jc w:val="center"/>
      </w:pPr>
      <w:r>
        <w:drawing>
          <wp:inline xmlns:a="http://schemas.openxmlformats.org/drawingml/2006/main" xmlns:pic="http://schemas.openxmlformats.org/drawingml/2006/picture">
            <wp:extent cx="4480560" cy="2688336"/>
            <wp:docPr id="8" name="Picture 8"/>
            <wp:cNvGraphicFramePr>
              <a:graphicFrameLocks noChangeAspect="1"/>
            </wp:cNvGraphicFramePr>
            <a:graphic>
              <a:graphicData uri="http://schemas.openxmlformats.org/drawingml/2006/picture">
                <pic:pic>
                  <pic:nvPicPr>
                    <pic:cNvPr id="0" name="madde_02.png"/>
                    <pic:cNvPicPr/>
                  </pic:nvPicPr>
                  <pic:blipFill>
                    <a:blip r:embed="rId16"/>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3’e İlişkin Bulgular</w:t>
      </w:r>
    </w:p>
    <w:p>
      <w:pPr>
        <w:spacing w:after="80" w:line="259" w:lineRule="auto"/>
      </w:pPr>
      <w:r>
        <w:rPr>
          <w:rFonts w:ascii="Times New Roman" w:hAnsi="Times New Roman"/>
          <w:b w:val="0"/>
          <w:i/>
          <w:sz w:val="22"/>
        </w:rPr>
        <w:t>(Program mezunlara gerekli klinik ve uygulamalı becerileri kazandırmaktadır.)</w:t>
      </w:r>
    </w:p>
    <w:p>
      <w:pPr>
        <w:spacing w:after="120" w:line="259" w:lineRule="auto"/>
        <w:ind w:firstLine="425"/>
      </w:pPr>
      <w:r>
        <w:rPr>
          <w:rFonts w:ascii="Times New Roman" w:hAnsi="Times New Roman"/>
          <w:b w:val="0"/>
          <w:i w:val="0"/>
          <w:sz w:val="22"/>
        </w:rPr>
        <w:t>Katılımcıların; 4'i (%36,4) Kesinlikle Katılıyorum, 2'i (%18,2) Katılıyorum, 5'i (%45,5)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3,91/5,00 olması, olumlu görüş oranının %54,5, kararsız görüş oranının %45,5 ve olumsuz görüş oranının %0,0 düzeyinde gerçekleşmesi, Bu sonuç, ilgili alanda genel eğilimin olumlu olmakla birlikte geliştirmeye açık yönler bulunduğunu ve özellikle kararsız görüşlerin ayrıntılı biçimde izlenmesi gerektiğini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2</w:t>
            </w:r>
          </w:p>
        </w:tc>
        <w:tc>
          <w:tcPr>
            <w:tcW w:type="dxa" w:w="3135"/>
            <w:vAlign w:val="center"/>
          </w:tcPr>
          <w:p>
            <w:pPr>
              <w:spacing w:after="0"/>
              <w:jc w:val="center"/>
            </w:pPr>
            <w:r/>
            <w:r>
              <w:rPr>
                <w:rFonts w:ascii="Times New Roman" w:hAnsi="Times New Roman"/>
                <w:b w:val="0"/>
                <w:sz w:val="16"/>
              </w:rPr>
              <w:t>%18,2</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3,91 / 5,00</w:t>
            </w:r>
          </w:p>
        </w:tc>
      </w:tr>
    </w:tbl>
    <w:p>
      <w:pPr>
        <w:spacing w:after="160"/>
        <w:jc w:val="center"/>
      </w:pPr>
      <w:r>
        <w:drawing>
          <wp:inline xmlns:a="http://schemas.openxmlformats.org/drawingml/2006/main" xmlns:pic="http://schemas.openxmlformats.org/drawingml/2006/picture">
            <wp:extent cx="4480560" cy="2688336"/>
            <wp:docPr id="9" name="Picture 9"/>
            <wp:cNvGraphicFramePr>
              <a:graphicFrameLocks noChangeAspect="1"/>
            </wp:cNvGraphicFramePr>
            <a:graphic>
              <a:graphicData uri="http://schemas.openxmlformats.org/drawingml/2006/picture">
                <pic:pic>
                  <pic:nvPicPr>
                    <pic:cNvPr id="0" name="madde_03.png"/>
                    <pic:cNvPicPr/>
                  </pic:nvPicPr>
                  <pic:blipFill>
                    <a:blip r:embed="rId17"/>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4’e İlişkin Bulgular</w:t>
      </w:r>
    </w:p>
    <w:p>
      <w:pPr>
        <w:spacing w:after="80" w:line="259" w:lineRule="auto"/>
      </w:pPr>
      <w:r>
        <w:rPr>
          <w:rFonts w:ascii="Times New Roman" w:hAnsi="Times New Roman"/>
          <w:b w:val="0"/>
          <w:i/>
          <w:sz w:val="22"/>
        </w:rPr>
        <w:t>(Program mezunları iş hayatına hazır şekilde yetiştirmeyi amaçlamaktadır.)</w:t>
      </w:r>
    </w:p>
    <w:p>
      <w:pPr>
        <w:spacing w:after="120" w:line="259" w:lineRule="auto"/>
        <w:ind w:firstLine="425"/>
      </w:pPr>
      <w:r>
        <w:rPr>
          <w:rFonts w:ascii="Times New Roman" w:hAnsi="Times New Roman"/>
          <w:b w:val="0"/>
          <w:i w:val="0"/>
          <w:sz w:val="22"/>
        </w:rPr>
        <w:t>Katılımcıların; 4'i (%36,4) Kesinlikle Katılıyorum, 6'i (%54,5) Katılıyorum, 1'i (%9,1)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4,27/5,00 olması, olumlu görüş oranının %90,9, kararsız görüş oranının %9,1 ve olumsuz görüş oranının %0,0 düzeyinde gerçekleşmesi, Bu sonuç, ilgili alanda dış paydaş algısının güçlü düzeyde olumlu olduğunu ve mevcut program yapısının genel olarak başarılı değerlendirildiğini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6</w:t>
            </w:r>
          </w:p>
        </w:tc>
        <w:tc>
          <w:tcPr>
            <w:tcW w:type="dxa" w:w="3135"/>
            <w:vAlign w:val="center"/>
          </w:tcPr>
          <w:p>
            <w:pPr>
              <w:spacing w:after="0"/>
              <w:jc w:val="center"/>
            </w:pPr>
            <w:r/>
            <w:r>
              <w:rPr>
                <w:rFonts w:ascii="Times New Roman" w:hAnsi="Times New Roman"/>
                <w:b w:val="0"/>
                <w:sz w:val="16"/>
              </w:rPr>
              <w:t>%54,5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4,27 / 5,00</w:t>
            </w:r>
          </w:p>
        </w:tc>
      </w:tr>
    </w:tbl>
    <w:p>
      <w:pPr>
        <w:spacing w:after="160"/>
        <w:jc w:val="center"/>
      </w:pPr>
      <w:r>
        <w:drawing>
          <wp:inline xmlns:a="http://schemas.openxmlformats.org/drawingml/2006/main" xmlns:pic="http://schemas.openxmlformats.org/drawingml/2006/picture">
            <wp:extent cx="4480560" cy="2688336"/>
            <wp:docPr id="10" name="Picture 10"/>
            <wp:cNvGraphicFramePr>
              <a:graphicFrameLocks noChangeAspect="1"/>
            </wp:cNvGraphicFramePr>
            <a:graphic>
              <a:graphicData uri="http://schemas.openxmlformats.org/drawingml/2006/picture">
                <pic:pic>
                  <pic:nvPicPr>
                    <pic:cNvPr id="0" name="madde_04.png"/>
                    <pic:cNvPicPr/>
                  </pic:nvPicPr>
                  <pic:blipFill>
                    <a:blip r:embed="rId18"/>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5’e İlişkin Bulgular</w:t>
      </w:r>
    </w:p>
    <w:p>
      <w:pPr>
        <w:spacing w:after="80" w:line="259" w:lineRule="auto"/>
      </w:pPr>
      <w:r>
        <w:rPr>
          <w:rFonts w:ascii="Times New Roman" w:hAnsi="Times New Roman"/>
          <w:b w:val="0"/>
          <w:i/>
          <w:sz w:val="22"/>
        </w:rPr>
        <w:t>(Program toplumsal katkı ve hayvan sağlığı bilincini desteklemektedir.)</w:t>
      </w:r>
    </w:p>
    <w:p>
      <w:pPr>
        <w:spacing w:after="120" w:line="259" w:lineRule="auto"/>
        <w:ind w:firstLine="425"/>
      </w:pPr>
      <w:r>
        <w:rPr>
          <w:rFonts w:ascii="Times New Roman" w:hAnsi="Times New Roman"/>
          <w:b w:val="0"/>
          <w:i w:val="0"/>
          <w:sz w:val="22"/>
        </w:rPr>
        <w:t>Katılımcıların; 5'i (%45,5) Kesinlikle Katılıyorum, 5'i (%45,5) Katılıyorum, 1'i (%9,1)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4,36/5,00 olması, olumlu görüş oranının %90,9, kararsız görüş oranının %9,1 ve olumsuz görüş oranının %0,0 düzeyinde gerçekleşmesi, Bu sonuç, ilgili alanda dış paydaş algısının güçlü düzeyde olumlu olduğunu ve mevcut program yapısının genel olarak başarılı değerlendirildiğini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4,36 / 5,00</w:t>
            </w:r>
          </w:p>
        </w:tc>
      </w:tr>
    </w:tbl>
    <w:p>
      <w:pPr>
        <w:spacing w:after="160"/>
        <w:jc w:val="center"/>
      </w:pPr>
      <w:r>
        <w:drawing>
          <wp:inline xmlns:a="http://schemas.openxmlformats.org/drawingml/2006/main" xmlns:pic="http://schemas.openxmlformats.org/drawingml/2006/picture">
            <wp:extent cx="4480560" cy="2688336"/>
            <wp:docPr id="11" name="Picture 11"/>
            <wp:cNvGraphicFramePr>
              <a:graphicFrameLocks noChangeAspect="1"/>
            </wp:cNvGraphicFramePr>
            <a:graphic>
              <a:graphicData uri="http://schemas.openxmlformats.org/drawingml/2006/picture">
                <pic:pic>
                  <pic:nvPicPr>
                    <pic:cNvPr id="0" name="madde_05.png"/>
                    <pic:cNvPicPr/>
                  </pic:nvPicPr>
                  <pic:blipFill>
                    <a:blip r:embed="rId19"/>
                    <a:stretch>
                      <a:fillRect/>
                    </a:stretch>
                  </pic:blipFill>
                  <pic:spPr>
                    <a:xfrm>
                      <a:off x="0" y="0"/>
                      <a:ext cx="4480560" cy="2688336"/>
                    </a:xfrm>
                    <a:prstGeom prst="rect"/>
                  </pic:spPr>
                </pic:pic>
              </a:graphicData>
            </a:graphic>
          </wp:inline>
        </w:drawing>
      </w:r>
    </w:p>
    <w:p>
      <w:pPr>
        <w:pStyle w:val="Heading2"/>
        <w:spacing w:before="160" w:after="120"/>
      </w:pPr>
      <w:r>
        <w:rPr>
          <w:rFonts w:ascii="Times New Roman" w:hAnsi="Times New Roman"/>
          <w:b/>
          <w:color w:val="1F4E79"/>
          <w:sz w:val="26"/>
        </w:rPr>
        <w:t>5.2. Mezun Yetkinlikleri</w:t>
      </w:r>
    </w:p>
    <w:p>
      <w:pPr>
        <w:spacing w:after="120" w:line="259" w:lineRule="auto"/>
        <w:ind w:firstLine="425"/>
      </w:pPr>
      <w:r>
        <w:rPr>
          <w:rFonts w:ascii="Times New Roman" w:hAnsi="Times New Roman"/>
          <w:b w:val="0"/>
          <w:i w:val="0"/>
          <w:sz w:val="22"/>
        </w:rPr>
        <w:t>Bu boyutta 3 madde değerlendirilmiştir. Boyut ortalaması 4,00/5,00, olumlu görüş oranı %60,6, kararsız görüş oranı %39,4 ve olumsuz görüş oranı %0,0 olarak hesaplanmıştır.</w:t>
      </w:r>
    </w:p>
    <w:p>
      <w:pPr>
        <w:spacing w:after="120" w:line="259" w:lineRule="auto"/>
        <w:ind w:firstLine="425"/>
      </w:pPr>
      <w:r>
        <w:rPr>
          <w:rFonts w:ascii="Times New Roman" w:hAnsi="Times New Roman"/>
          <w:b w:val="0"/>
          <w:i w:val="0"/>
          <w:sz w:val="22"/>
        </w:rPr>
        <w:t>Bu boyut, mezunların problem çözme, karar verme, ekip çalışması ve iletişim becerilerine ilişkin dış paydaş değerlendirmelerini içermektedir.</w:t>
      </w:r>
    </w:p>
    <w:p>
      <w:pPr>
        <w:pStyle w:val="Heading3"/>
        <w:spacing w:before="160" w:after="120"/>
      </w:pPr>
      <w:r>
        <w:rPr>
          <w:rFonts w:ascii="Times New Roman" w:hAnsi="Times New Roman"/>
          <w:b/>
          <w:sz w:val="24"/>
        </w:rPr>
        <w:t>Madde 6’e İlişkin Bulgular</w:t>
      </w:r>
    </w:p>
    <w:p>
      <w:pPr>
        <w:spacing w:after="80" w:line="259" w:lineRule="auto"/>
      </w:pPr>
      <w:r>
        <w:rPr>
          <w:rFonts w:ascii="Times New Roman" w:hAnsi="Times New Roman"/>
          <w:b w:val="0"/>
          <w:i/>
          <w:sz w:val="22"/>
        </w:rPr>
        <w:t>(Mezunların problem çözme ve karar verme becerileri yeterlidir.)</w:t>
      </w:r>
    </w:p>
    <w:p>
      <w:pPr>
        <w:spacing w:after="120" w:line="259" w:lineRule="auto"/>
        <w:ind w:firstLine="425"/>
      </w:pPr>
      <w:r>
        <w:rPr>
          <w:rFonts w:ascii="Times New Roman" w:hAnsi="Times New Roman"/>
          <w:b w:val="0"/>
          <w:i w:val="0"/>
          <w:sz w:val="22"/>
        </w:rPr>
        <w:t>Katılımcıların; 4'i (%36,4) Kesinlikle Katılıyorum, 3'i (%27,3) Katılıyorum, 4'i (%36,4)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%63,6, kararsız görüş oranının %36,4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12" name="Picture 12"/>
            <wp:cNvGraphicFramePr>
              <a:graphicFrameLocks noChangeAspect="1"/>
            </wp:cNvGraphicFramePr>
            <a:graphic>
              <a:graphicData uri="http://schemas.openxmlformats.org/drawingml/2006/picture">
                <pic:pic>
                  <pic:nvPicPr>
                    <pic:cNvPr id="0" name="madde_06.png"/>
                    <pic:cNvPicPr/>
                  </pic:nvPicPr>
                  <pic:blipFill>
                    <a:blip r:embed="rId20"/>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7’e İlişkin Bulgular</w:t>
      </w:r>
    </w:p>
    <w:p>
      <w:pPr>
        <w:spacing w:after="80" w:line="259" w:lineRule="auto"/>
      </w:pPr>
      <w:r>
        <w:rPr>
          <w:rFonts w:ascii="Times New Roman" w:hAnsi="Times New Roman"/>
          <w:b w:val="0"/>
          <w:i/>
          <w:sz w:val="22"/>
        </w:rPr>
        <w:t>(Mezunların ekip çalışmasına yatkın oldukları düşünülmektedir.)</w:t>
      </w:r>
    </w:p>
    <w:p>
      <w:pPr>
        <w:spacing w:after="120" w:line="259" w:lineRule="auto"/>
        <w:ind w:firstLine="425"/>
      </w:pPr>
      <w:r>
        <w:rPr>
          <w:rFonts w:ascii="Times New Roman" w:hAnsi="Times New Roman"/>
          <w:b w:val="0"/>
          <w:i w:val="0"/>
          <w:sz w:val="22"/>
        </w:rPr>
        <w:t>Katılımcıların; 4'i (%36,4) Kesinlikle Katılıyorum, 2'i (%18,2) Katılıyorum, 5'i (%45,5)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3,91/5,00 olması, olumlu görüş oranının %54,5, kararsız görüş oranının %45,5 ve olumsuz görüş oranının %0,0 düzeyinde gerçekleşmesi, Bu sonuç, ilgili alanda genel eğilimin olumlu olmakla birlikte geliştirmeye açık yönler bulunduğunu ve özellikle kararsız görüşlerin ayrıntılı biçimde izlenmesi gerektiğini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2</w:t>
            </w:r>
          </w:p>
        </w:tc>
        <w:tc>
          <w:tcPr>
            <w:tcW w:type="dxa" w:w="3135"/>
            <w:vAlign w:val="center"/>
          </w:tcPr>
          <w:p>
            <w:pPr>
              <w:spacing w:after="0"/>
              <w:jc w:val="center"/>
            </w:pPr>
            <w:r/>
            <w:r>
              <w:rPr>
                <w:rFonts w:ascii="Times New Roman" w:hAnsi="Times New Roman"/>
                <w:b w:val="0"/>
                <w:sz w:val="16"/>
              </w:rPr>
              <w:t>%18,2</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3,91 / 5,00</w:t>
            </w:r>
          </w:p>
        </w:tc>
      </w:tr>
    </w:tbl>
    <w:p>
      <w:pPr>
        <w:spacing w:after="160"/>
        <w:jc w:val="center"/>
      </w:pPr>
      <w:r>
        <w:drawing>
          <wp:inline xmlns:a="http://schemas.openxmlformats.org/drawingml/2006/main" xmlns:pic="http://schemas.openxmlformats.org/drawingml/2006/picture">
            <wp:extent cx="4480560" cy="2688336"/>
            <wp:docPr id="13" name="Picture 13"/>
            <wp:cNvGraphicFramePr>
              <a:graphicFrameLocks noChangeAspect="1"/>
            </wp:cNvGraphicFramePr>
            <a:graphic>
              <a:graphicData uri="http://schemas.openxmlformats.org/drawingml/2006/picture">
                <pic:pic>
                  <pic:nvPicPr>
                    <pic:cNvPr id="0" name="madde_07.png"/>
                    <pic:cNvPicPr/>
                  </pic:nvPicPr>
                  <pic:blipFill>
                    <a:blip r:embed="rId21"/>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8’e İlişkin Bulgular</w:t>
      </w:r>
    </w:p>
    <w:p>
      <w:pPr>
        <w:spacing w:after="80" w:line="259" w:lineRule="auto"/>
      </w:pPr>
      <w:r>
        <w:rPr>
          <w:rFonts w:ascii="Times New Roman" w:hAnsi="Times New Roman"/>
          <w:b w:val="0"/>
          <w:i/>
          <w:sz w:val="22"/>
        </w:rPr>
        <w:t>(Mezunların iletişim becerileri yeterlidir.)</w:t>
      </w:r>
    </w:p>
    <w:p>
      <w:pPr>
        <w:spacing w:after="120" w:line="259" w:lineRule="auto"/>
        <w:ind w:firstLine="425"/>
      </w:pPr>
      <w:r>
        <w:rPr>
          <w:rFonts w:ascii="Times New Roman" w:hAnsi="Times New Roman"/>
          <w:b w:val="0"/>
          <w:i w:val="0"/>
          <w:sz w:val="22"/>
        </w:rPr>
        <w:t>Katılımcıların; 5'i (%45,5) Kesinlikle Katılıyorum, 2'i (%18,2) Katılıyorum, 4'i (%36,4)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4,09/5,00 olması, olumlu görüş oranının %63,6, kararsız görüş oranının %36,4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2</w:t>
            </w:r>
          </w:p>
        </w:tc>
        <w:tc>
          <w:tcPr>
            <w:tcW w:type="dxa" w:w="3135"/>
            <w:vAlign w:val="center"/>
          </w:tcPr>
          <w:p>
            <w:pPr>
              <w:spacing w:after="0"/>
              <w:jc w:val="center"/>
            </w:pPr>
            <w:r/>
            <w:r>
              <w:rPr>
                <w:rFonts w:ascii="Times New Roman" w:hAnsi="Times New Roman"/>
                <w:b w:val="0"/>
                <w:sz w:val="16"/>
              </w:rPr>
              <w:t>%18,2</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4,09 / 5,00</w:t>
            </w:r>
          </w:p>
        </w:tc>
      </w:tr>
    </w:tbl>
    <w:p>
      <w:pPr>
        <w:spacing w:after="160"/>
        <w:jc w:val="center"/>
      </w:pPr>
      <w:r>
        <w:drawing>
          <wp:inline xmlns:a="http://schemas.openxmlformats.org/drawingml/2006/main" xmlns:pic="http://schemas.openxmlformats.org/drawingml/2006/picture">
            <wp:extent cx="4480560" cy="2688336"/>
            <wp:docPr id="14" name="Picture 14"/>
            <wp:cNvGraphicFramePr>
              <a:graphicFrameLocks noChangeAspect="1"/>
            </wp:cNvGraphicFramePr>
            <a:graphic>
              <a:graphicData uri="http://schemas.openxmlformats.org/drawingml/2006/picture">
                <pic:pic>
                  <pic:nvPicPr>
                    <pic:cNvPr id="0" name="madde_08.png"/>
                    <pic:cNvPicPr/>
                  </pic:nvPicPr>
                  <pic:blipFill>
                    <a:blip r:embed="rId22"/>
                    <a:stretch>
                      <a:fillRect/>
                    </a:stretch>
                  </pic:blipFill>
                  <pic:spPr>
                    <a:xfrm>
                      <a:off x="0" y="0"/>
                      <a:ext cx="4480560" cy="2688336"/>
                    </a:xfrm>
                    <a:prstGeom prst="rect"/>
                  </pic:spPr>
                </pic:pic>
              </a:graphicData>
            </a:graphic>
          </wp:inline>
        </w:drawing>
      </w:r>
    </w:p>
    <w:p>
      <w:pPr>
        <w:pStyle w:val="Heading2"/>
        <w:spacing w:before="160" w:after="120"/>
      </w:pPr>
      <w:r>
        <w:rPr>
          <w:rFonts w:ascii="Times New Roman" w:hAnsi="Times New Roman"/>
          <w:b/>
          <w:color w:val="1F4E79"/>
          <w:sz w:val="26"/>
        </w:rPr>
        <w:t>5.3. Eğitim Dengesi, Disiplinler Arası Yapı ve Teknoloji</w:t>
      </w:r>
    </w:p>
    <w:p>
      <w:pPr>
        <w:spacing w:after="120" w:line="259" w:lineRule="auto"/>
        <w:ind w:firstLine="425"/>
      </w:pPr>
      <w:r>
        <w:rPr>
          <w:rFonts w:ascii="Times New Roman" w:hAnsi="Times New Roman"/>
          <w:b w:val="0"/>
          <w:i w:val="0"/>
          <w:sz w:val="22"/>
        </w:rPr>
        <w:t>Bu boyutta 4 madde değerlendirilmiştir. Boyut ortalaması 3,95/5,00, olumlu görüş oranı %70,5, kararsız görüş oranı %27,3 ve olumsuz görüş oranı %2,3 olarak hesaplanmıştır.</w:t>
      </w:r>
    </w:p>
    <w:p>
      <w:pPr>
        <w:spacing w:after="120" w:line="259" w:lineRule="auto"/>
        <w:ind w:firstLine="425"/>
      </w:pPr>
      <w:r>
        <w:rPr>
          <w:rFonts w:ascii="Times New Roman" w:hAnsi="Times New Roman"/>
          <w:b w:val="0"/>
          <w:i w:val="0"/>
          <w:sz w:val="22"/>
        </w:rPr>
        <w:t>Bu boyut, teorik-uygulamalı eğitim dengesi, disiplinler arası yapı ve teknolojik/yenilikçi uygulamaların programa yansıtılması açısından programın güncelliğini değerlendirmektedir.</w:t>
      </w:r>
    </w:p>
    <w:p>
      <w:pPr>
        <w:pStyle w:val="Heading3"/>
        <w:spacing w:before="160" w:after="120"/>
      </w:pPr>
      <w:r>
        <w:rPr>
          <w:rFonts w:ascii="Times New Roman" w:hAnsi="Times New Roman"/>
          <w:b/>
          <w:sz w:val="24"/>
        </w:rPr>
        <w:t>Madde 9’e İlişkin Bulgular</w:t>
      </w:r>
    </w:p>
    <w:p>
      <w:pPr>
        <w:spacing w:after="80" w:line="259" w:lineRule="auto"/>
      </w:pPr>
      <w:r>
        <w:rPr>
          <w:rFonts w:ascii="Times New Roman" w:hAnsi="Times New Roman"/>
          <w:b w:val="0"/>
          <w:i/>
          <w:sz w:val="22"/>
        </w:rPr>
        <w:t>(Program teorik ve uygulamalı eğitim dengesini sağlamaktadır.)</w:t>
      </w:r>
    </w:p>
    <w:p>
      <w:pPr>
        <w:spacing w:after="120" w:line="259" w:lineRule="auto"/>
        <w:ind w:firstLine="425"/>
      </w:pPr>
      <w:r>
        <w:rPr>
          <w:rFonts w:ascii="Times New Roman" w:hAnsi="Times New Roman"/>
          <w:b w:val="0"/>
          <w:i w:val="0"/>
          <w:sz w:val="22"/>
        </w:rPr>
        <w:t>Katılımcıların; 4'i (%36,4) Kesinlikle Katılıyorum, 4'i (%36,4)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4,09/5,00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4,09 / 5,00</w:t>
            </w:r>
          </w:p>
        </w:tc>
      </w:tr>
    </w:tbl>
    <w:p>
      <w:pPr>
        <w:spacing w:after="160"/>
        <w:jc w:val="center"/>
      </w:pPr>
      <w:r>
        <w:drawing>
          <wp:inline xmlns:a="http://schemas.openxmlformats.org/drawingml/2006/main" xmlns:pic="http://schemas.openxmlformats.org/drawingml/2006/picture">
            <wp:extent cx="4480560" cy="2688336"/>
            <wp:docPr id="15" name="Picture 15"/>
            <wp:cNvGraphicFramePr>
              <a:graphicFrameLocks noChangeAspect="1"/>
            </wp:cNvGraphicFramePr>
            <a:graphic>
              <a:graphicData uri="http://schemas.openxmlformats.org/drawingml/2006/picture">
                <pic:pic>
                  <pic:nvPicPr>
                    <pic:cNvPr id="0" name="madde_09.png"/>
                    <pic:cNvPicPr/>
                  </pic:nvPicPr>
                  <pic:blipFill>
                    <a:blip r:embed="rId23"/>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10’e İlişkin Bulgular</w:t>
      </w:r>
    </w:p>
    <w:p>
      <w:pPr>
        <w:spacing w:after="80" w:line="259" w:lineRule="auto"/>
      </w:pPr>
      <w:r>
        <w:rPr>
          <w:rFonts w:ascii="Times New Roman" w:hAnsi="Times New Roman"/>
          <w:b w:val="0"/>
          <w:i/>
          <w:sz w:val="22"/>
        </w:rPr>
        <w:t>(Program disiplinler arası çalışmayı desteklemektedir.)</w:t>
      </w:r>
    </w:p>
    <w:p>
      <w:pPr>
        <w:spacing w:after="120" w:line="259" w:lineRule="auto"/>
        <w:ind w:firstLine="425"/>
      </w:pPr>
      <w:r>
        <w:rPr>
          <w:rFonts w:ascii="Times New Roman" w:hAnsi="Times New Roman"/>
          <w:b w:val="0"/>
          <w:i w:val="0"/>
          <w:sz w:val="22"/>
        </w:rPr>
        <w:t>Katılımcıların; 3'i (%27,3) Kesinlikle Katılıyorum, 5'i (%45,5)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16" name="Picture 16"/>
            <wp:cNvGraphicFramePr>
              <a:graphicFrameLocks noChangeAspect="1"/>
            </wp:cNvGraphicFramePr>
            <a:graphic>
              <a:graphicData uri="http://schemas.openxmlformats.org/drawingml/2006/picture">
                <pic:pic>
                  <pic:nvPicPr>
                    <pic:cNvPr id="0" name="madde_10.png"/>
                    <pic:cNvPicPr/>
                  </pic:nvPicPr>
                  <pic:blipFill>
                    <a:blip r:embed="rId24"/>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11’e İlişkin Bulgular</w:t>
      </w:r>
    </w:p>
    <w:p>
      <w:pPr>
        <w:spacing w:after="80" w:line="259" w:lineRule="auto"/>
      </w:pPr>
      <w:r>
        <w:rPr>
          <w:rFonts w:ascii="Times New Roman" w:hAnsi="Times New Roman"/>
          <w:b w:val="0"/>
          <w:i/>
          <w:sz w:val="22"/>
        </w:rPr>
        <w:t>(Teknolojik gelişmeler ve yenilikçi uygulamalar programa yansıtılmaktadır.)</w:t>
      </w:r>
    </w:p>
    <w:p>
      <w:pPr>
        <w:spacing w:after="120" w:line="259" w:lineRule="auto"/>
        <w:ind w:firstLine="425"/>
      </w:pPr>
      <w:r>
        <w:rPr>
          <w:rFonts w:ascii="Times New Roman" w:hAnsi="Times New Roman"/>
          <w:b w:val="0"/>
          <w:i w:val="0"/>
          <w:sz w:val="22"/>
        </w:rPr>
        <w:t>Katılımcıların; 3'i (%27,3) Kesinlikle Katılıyorum, 4'i (%36,4) Katılıyorum, 3'i (%27,3) Kararsızım, 0'i (%0,0) Katılmıyorum, 1'i (%9,1)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3,73/5,00 olması, olumlu görüş oranının %63,6, kararsız görüş oranının %27,3 ve olumsuz görüş oranının %9,1 düzeyinde gerçekleşmesi, Bu sonuç, ilgili alanda genel eğilimin olumlu olmakla birlikte geliştirmeye açık yönler bulunduğunu ve özellikle kararsız görüşlerin ayrıntılı biçimde izlenmesi gerektiğini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3,73 / 5,00</w:t>
            </w:r>
          </w:p>
        </w:tc>
      </w:tr>
    </w:tbl>
    <w:p>
      <w:pPr>
        <w:spacing w:after="160"/>
        <w:jc w:val="center"/>
      </w:pPr>
      <w:r>
        <w:drawing>
          <wp:inline xmlns:a="http://schemas.openxmlformats.org/drawingml/2006/main" xmlns:pic="http://schemas.openxmlformats.org/drawingml/2006/picture">
            <wp:extent cx="4480560" cy="2688336"/>
            <wp:docPr id="17" name="Picture 17"/>
            <wp:cNvGraphicFramePr>
              <a:graphicFrameLocks noChangeAspect="1"/>
            </wp:cNvGraphicFramePr>
            <a:graphic>
              <a:graphicData uri="http://schemas.openxmlformats.org/drawingml/2006/picture">
                <pic:pic>
                  <pic:nvPicPr>
                    <pic:cNvPr id="0" name="madde_11.png"/>
                    <pic:cNvPicPr/>
                  </pic:nvPicPr>
                  <pic:blipFill>
                    <a:blip r:embed="rId25"/>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12’e İlişkin Bulgular</w:t>
      </w:r>
    </w:p>
    <w:p>
      <w:pPr>
        <w:spacing w:after="80" w:line="259" w:lineRule="auto"/>
      </w:pPr>
      <w:r>
        <w:rPr>
          <w:rFonts w:ascii="Times New Roman" w:hAnsi="Times New Roman"/>
          <w:b w:val="0"/>
          <w:i/>
          <w:sz w:val="22"/>
        </w:rPr>
        <w:t>(Teknolojik gelişmeler ve yenilikçi uygulamalar programa yansıtılmaktadır. 2)</w:t>
      </w:r>
    </w:p>
    <w:p>
      <w:pPr>
        <w:spacing w:after="120" w:line="259" w:lineRule="auto"/>
        <w:ind w:firstLine="425"/>
      </w:pPr>
      <w:r>
        <w:rPr>
          <w:rFonts w:ascii="Times New Roman" w:hAnsi="Times New Roman"/>
          <w:b w:val="0"/>
          <w:i w:val="0"/>
          <w:sz w:val="22"/>
        </w:rPr>
        <w:t>Katılımcıların; 3'i (%27,3) Kesinlikle Katılıyorum, 5'i (%45,5)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18" name="Picture 18"/>
            <wp:cNvGraphicFramePr>
              <a:graphicFrameLocks noChangeAspect="1"/>
            </wp:cNvGraphicFramePr>
            <a:graphic>
              <a:graphicData uri="http://schemas.openxmlformats.org/drawingml/2006/picture">
                <pic:pic>
                  <pic:nvPicPr>
                    <pic:cNvPr id="0" name="madde_12.png"/>
                    <pic:cNvPicPr/>
                  </pic:nvPicPr>
                  <pic:blipFill>
                    <a:blip r:embed="rId26"/>
                    <a:stretch>
                      <a:fillRect/>
                    </a:stretch>
                  </pic:blipFill>
                  <pic:spPr>
                    <a:xfrm>
                      <a:off x="0" y="0"/>
                      <a:ext cx="4480560" cy="2688336"/>
                    </a:xfrm>
                    <a:prstGeom prst="rect"/>
                  </pic:spPr>
                </pic:pic>
              </a:graphicData>
            </a:graphic>
          </wp:inline>
        </w:drawing>
      </w:r>
    </w:p>
    <w:p>
      <w:pPr>
        <w:pStyle w:val="Heading2"/>
        <w:spacing w:before="160" w:after="120"/>
      </w:pPr>
      <w:r>
        <w:rPr>
          <w:rFonts w:ascii="Times New Roman" w:hAnsi="Times New Roman"/>
          <w:b/>
          <w:color w:val="1F4E79"/>
          <w:sz w:val="26"/>
        </w:rPr>
        <w:t>5.4. Ders İçerikleri, Uygulama ve Mesleki Yetkinlik</w:t>
      </w:r>
    </w:p>
    <w:p>
      <w:pPr>
        <w:spacing w:after="120" w:line="259" w:lineRule="auto"/>
        <w:ind w:firstLine="425"/>
      </w:pPr>
      <w:r>
        <w:rPr>
          <w:rFonts w:ascii="Times New Roman" w:hAnsi="Times New Roman"/>
          <w:b w:val="0"/>
          <w:i w:val="0"/>
          <w:sz w:val="22"/>
        </w:rPr>
        <w:t>Bu boyutta 5 madde değerlendirilmiştir. Boyut ortalaması 3,96/5,00, olumlu görüş oranı %67,3, kararsız görüş oranı %30,9 ve olumsuz görüş oranı %1,8 olarak hesaplanmıştır.</w:t>
      </w:r>
    </w:p>
    <w:p>
      <w:pPr>
        <w:spacing w:after="120" w:line="259" w:lineRule="auto"/>
        <w:ind w:firstLine="425"/>
      </w:pPr>
      <w:r>
        <w:rPr>
          <w:rFonts w:ascii="Times New Roman" w:hAnsi="Times New Roman"/>
          <w:b w:val="0"/>
          <w:i w:val="0"/>
          <w:sz w:val="22"/>
        </w:rPr>
        <w:t>Bu boyut, ders içeriklerinin güncelliği, sektör ihtiyaçlarıyla uyumu, uygulama/staj olanakları, mesleki yetkinlik kazandırma ve seçmeli ders çeşitliliğini kapsamaktadır.</w:t>
      </w:r>
    </w:p>
    <w:p>
      <w:pPr>
        <w:pStyle w:val="Heading3"/>
        <w:spacing w:before="160" w:after="120"/>
      </w:pPr>
      <w:r>
        <w:rPr>
          <w:rFonts w:ascii="Times New Roman" w:hAnsi="Times New Roman"/>
          <w:b/>
          <w:sz w:val="24"/>
        </w:rPr>
        <w:t>Madde 13’e İlişkin Bulgular</w:t>
      </w:r>
    </w:p>
    <w:p>
      <w:pPr>
        <w:spacing w:after="80" w:line="259" w:lineRule="auto"/>
      </w:pPr>
      <w:r>
        <w:rPr>
          <w:rFonts w:ascii="Times New Roman" w:hAnsi="Times New Roman"/>
          <w:b w:val="0"/>
          <w:i/>
          <w:sz w:val="22"/>
        </w:rPr>
        <w:t>(Ders içerikleri güncel bilimsel ve teknolojik gelişmelere uygundur.)</w:t>
      </w:r>
    </w:p>
    <w:p>
      <w:pPr>
        <w:spacing w:after="120" w:line="259" w:lineRule="auto"/>
        <w:ind w:firstLine="425"/>
      </w:pPr>
      <w:r>
        <w:rPr>
          <w:rFonts w:ascii="Times New Roman" w:hAnsi="Times New Roman"/>
          <w:b w:val="0"/>
          <w:i w:val="0"/>
          <w:sz w:val="22"/>
        </w:rPr>
        <w:t>Katılımcıların; 3'i (%27,3) Kesinlikle Katılıyorum, 4'i (%36,4) Katılıyorum, 4'i (%36,4)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3,91/5,00 olması, olumlu görüş oranının %63,6, kararsız görüş oranının %36,4 ve olumsuz görüş oranının %0,0 düzeyinde gerçekleşmesi, Bu sonuç, ilgili alanda genel eğilimin olumlu olmakla birlikte geliştirmeye açık yönler bulunduğunu ve özellikle kararsız görüşlerin ayrıntılı biçimde izlenmesi gerektiğini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3,91 / 5,00</w:t>
            </w:r>
          </w:p>
        </w:tc>
      </w:tr>
    </w:tbl>
    <w:p>
      <w:pPr>
        <w:spacing w:after="160"/>
        <w:jc w:val="center"/>
      </w:pPr>
      <w:r>
        <w:drawing>
          <wp:inline xmlns:a="http://schemas.openxmlformats.org/drawingml/2006/main" xmlns:pic="http://schemas.openxmlformats.org/drawingml/2006/picture">
            <wp:extent cx="4480560" cy="2688336"/>
            <wp:docPr id="19" name="Picture 19"/>
            <wp:cNvGraphicFramePr>
              <a:graphicFrameLocks noChangeAspect="1"/>
            </wp:cNvGraphicFramePr>
            <a:graphic>
              <a:graphicData uri="http://schemas.openxmlformats.org/drawingml/2006/picture">
                <pic:pic>
                  <pic:nvPicPr>
                    <pic:cNvPr id="0" name="madde_13.png"/>
                    <pic:cNvPicPr/>
                  </pic:nvPicPr>
                  <pic:blipFill>
                    <a:blip r:embed="rId27"/>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14’e İlişkin Bulgular</w:t>
      </w:r>
    </w:p>
    <w:p>
      <w:pPr>
        <w:spacing w:after="80" w:line="259" w:lineRule="auto"/>
      </w:pPr>
      <w:r>
        <w:rPr>
          <w:rFonts w:ascii="Times New Roman" w:hAnsi="Times New Roman"/>
          <w:b w:val="0"/>
          <w:i/>
          <w:sz w:val="22"/>
        </w:rPr>
        <w:t>(Dersler sektör ihtiyaçlarını karşılayacak şekilde planlanmıştır.)</w:t>
      </w:r>
    </w:p>
    <w:p>
      <w:pPr>
        <w:spacing w:after="120" w:line="259" w:lineRule="auto"/>
        <w:ind w:firstLine="425"/>
      </w:pPr>
      <w:r>
        <w:rPr>
          <w:rFonts w:ascii="Times New Roman" w:hAnsi="Times New Roman"/>
          <w:b w:val="0"/>
          <w:i w:val="0"/>
          <w:sz w:val="22"/>
        </w:rPr>
        <w:t>Katılımcıların; 4'i (%36,4) Kesinlikle Katılıyorum, 3'i (%27,3) Katılıyorum, 4'i (%36,4)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%63,6, kararsız görüş oranının %36,4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20" name="Picture 20"/>
            <wp:cNvGraphicFramePr>
              <a:graphicFrameLocks noChangeAspect="1"/>
            </wp:cNvGraphicFramePr>
            <a:graphic>
              <a:graphicData uri="http://schemas.openxmlformats.org/drawingml/2006/picture">
                <pic:pic>
                  <pic:nvPicPr>
                    <pic:cNvPr id="0" name="madde_14.png"/>
                    <pic:cNvPicPr/>
                  </pic:nvPicPr>
                  <pic:blipFill>
                    <a:blip r:embed="rId28"/>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15’e İlişkin Bulgular</w:t>
      </w:r>
    </w:p>
    <w:p>
      <w:pPr>
        <w:spacing w:after="80" w:line="259" w:lineRule="auto"/>
      </w:pPr>
      <w:r>
        <w:rPr>
          <w:rFonts w:ascii="Times New Roman" w:hAnsi="Times New Roman"/>
          <w:b w:val="0"/>
          <w:i/>
          <w:sz w:val="22"/>
        </w:rPr>
        <w:t>(Uygulama ve staj olanakları yeterlidir.)</w:t>
      </w:r>
    </w:p>
    <w:p>
      <w:pPr>
        <w:spacing w:after="120" w:line="259" w:lineRule="auto"/>
        <w:ind w:firstLine="425"/>
      </w:pPr>
      <w:r>
        <w:rPr>
          <w:rFonts w:ascii="Times New Roman" w:hAnsi="Times New Roman"/>
          <w:b w:val="0"/>
          <w:i w:val="0"/>
          <w:sz w:val="22"/>
        </w:rPr>
        <w:t>Katılımcıların; 3'i (%27,3) Kesinlikle Katılıyorum, 5'i (%45,5)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21" name="Picture 21"/>
            <wp:cNvGraphicFramePr>
              <a:graphicFrameLocks noChangeAspect="1"/>
            </wp:cNvGraphicFramePr>
            <a:graphic>
              <a:graphicData uri="http://schemas.openxmlformats.org/drawingml/2006/picture">
                <pic:pic>
                  <pic:nvPicPr>
                    <pic:cNvPr id="0" name="madde_15.png"/>
                    <pic:cNvPicPr/>
                  </pic:nvPicPr>
                  <pic:blipFill>
                    <a:blip r:embed="rId29"/>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16’e İlişkin Bulgular</w:t>
      </w:r>
    </w:p>
    <w:p>
      <w:pPr>
        <w:spacing w:after="80" w:line="259" w:lineRule="auto"/>
      </w:pPr>
      <w:r>
        <w:rPr>
          <w:rFonts w:ascii="Times New Roman" w:hAnsi="Times New Roman"/>
          <w:b w:val="0"/>
          <w:i/>
          <w:sz w:val="22"/>
        </w:rPr>
        <w:t>(Ders içerikleri mesleki yetkinlik kazandırmaktadır.)</w:t>
      </w:r>
    </w:p>
    <w:p>
      <w:pPr>
        <w:spacing w:after="120" w:line="259" w:lineRule="auto"/>
        <w:ind w:firstLine="425"/>
      </w:pPr>
      <w:r>
        <w:rPr>
          <w:rFonts w:ascii="Times New Roman" w:hAnsi="Times New Roman"/>
          <w:b w:val="0"/>
          <w:i w:val="0"/>
          <w:sz w:val="22"/>
        </w:rPr>
        <w:t>Katılımcıların; 3'i (%27,3) Kesinlikle Katılıyorum, 5'i (%45,5)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22" name="Picture 22"/>
            <wp:cNvGraphicFramePr>
              <a:graphicFrameLocks noChangeAspect="1"/>
            </wp:cNvGraphicFramePr>
            <a:graphic>
              <a:graphicData uri="http://schemas.openxmlformats.org/drawingml/2006/picture">
                <pic:pic>
                  <pic:nvPicPr>
                    <pic:cNvPr id="0" name="madde_16.png"/>
                    <pic:cNvPicPr/>
                  </pic:nvPicPr>
                  <pic:blipFill>
                    <a:blip r:embed="rId30"/>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17’e İlişkin Bulgular</w:t>
      </w:r>
    </w:p>
    <w:p>
      <w:pPr>
        <w:spacing w:after="80" w:line="259" w:lineRule="auto"/>
      </w:pPr>
      <w:r>
        <w:rPr>
          <w:rFonts w:ascii="Times New Roman" w:hAnsi="Times New Roman"/>
          <w:b w:val="0"/>
          <w:i/>
          <w:sz w:val="22"/>
        </w:rPr>
        <w:t>(Seçmeli ders çeşitliliği yeterlidir.)</w:t>
      </w:r>
    </w:p>
    <w:p>
      <w:pPr>
        <w:spacing w:after="120" w:line="259" w:lineRule="auto"/>
        <w:ind w:firstLine="425"/>
      </w:pPr>
      <w:r>
        <w:rPr>
          <w:rFonts w:ascii="Times New Roman" w:hAnsi="Times New Roman"/>
          <w:b w:val="0"/>
          <w:i w:val="0"/>
          <w:sz w:val="22"/>
        </w:rPr>
        <w:t>Katılımcıların; 4'i (%36,4) Kesinlikle Katılıyorum, 3'i (%27,3) Katılıyorum, 3'i (%27,3) Kararsızım, 1'i (%9,1)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3,91/5,00 olması, olumlu görüş oranının %63,6, kararsız görüş oranının %27,3 ve olumsuz görüş oranının %9,1 düzeyinde gerçekleşmesi, Bu sonuç, ilgili alanda genel eğilimin olumlu olmakla birlikte geliştirmeye açık yönler bulunduğunu ve özellikle kararsız görüşlerin ayrıntılı biçimde izlenmesi gerektiğini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3,91 / 5,00</w:t>
            </w:r>
          </w:p>
        </w:tc>
      </w:tr>
    </w:tbl>
    <w:p>
      <w:pPr>
        <w:spacing w:after="160"/>
        <w:jc w:val="center"/>
      </w:pPr>
      <w:r>
        <w:drawing>
          <wp:inline xmlns:a="http://schemas.openxmlformats.org/drawingml/2006/main" xmlns:pic="http://schemas.openxmlformats.org/drawingml/2006/picture">
            <wp:extent cx="4480560" cy="2688336"/>
            <wp:docPr id="23" name="Picture 23"/>
            <wp:cNvGraphicFramePr>
              <a:graphicFrameLocks noChangeAspect="1"/>
            </wp:cNvGraphicFramePr>
            <a:graphic>
              <a:graphicData uri="http://schemas.openxmlformats.org/drawingml/2006/picture">
                <pic:pic>
                  <pic:nvPicPr>
                    <pic:cNvPr id="0" name="madde_17.png"/>
                    <pic:cNvPicPr/>
                  </pic:nvPicPr>
                  <pic:blipFill>
                    <a:blip r:embed="rId31"/>
                    <a:stretch>
                      <a:fillRect/>
                    </a:stretch>
                  </pic:blipFill>
                  <pic:spPr>
                    <a:xfrm>
                      <a:off x="0" y="0"/>
                      <a:ext cx="4480560" cy="2688336"/>
                    </a:xfrm>
                    <a:prstGeom prst="rect"/>
                  </pic:spPr>
                </pic:pic>
              </a:graphicData>
            </a:graphic>
          </wp:inline>
        </w:drawing>
      </w:r>
    </w:p>
    <w:p>
      <w:pPr>
        <w:pStyle w:val="Heading2"/>
        <w:spacing w:before="160" w:after="120"/>
      </w:pPr>
      <w:r>
        <w:rPr>
          <w:rFonts w:ascii="Times New Roman" w:hAnsi="Times New Roman"/>
          <w:b/>
          <w:color w:val="1F4E79"/>
          <w:sz w:val="26"/>
        </w:rPr>
        <w:t>5.5. Sektör İş Birliği, Dış Paydaş Katkısı ve Genel Yeterlilik</w:t>
      </w:r>
    </w:p>
    <w:p>
      <w:pPr>
        <w:spacing w:after="120" w:line="259" w:lineRule="auto"/>
        <w:ind w:firstLine="425"/>
      </w:pPr>
      <w:r>
        <w:rPr>
          <w:rFonts w:ascii="Times New Roman" w:hAnsi="Times New Roman"/>
          <w:b w:val="0"/>
          <w:i w:val="0"/>
          <w:sz w:val="22"/>
        </w:rPr>
        <w:t>Bu boyutta 5 madde değerlendirilmiştir. Boyut ortalaması 4,02/5,00, olumlu görüş oranı %65,5, kararsız görüş oranı %32,7 ve olumsuz görüş oranı %1,8 olarak hesaplanmıştır.</w:t>
      </w:r>
    </w:p>
    <w:p>
      <w:pPr>
        <w:spacing w:after="120" w:line="259" w:lineRule="auto"/>
        <w:ind w:firstLine="425"/>
      </w:pPr>
      <w:r>
        <w:rPr>
          <w:rFonts w:ascii="Times New Roman" w:hAnsi="Times New Roman"/>
          <w:b w:val="0"/>
          <w:i w:val="0"/>
          <w:sz w:val="22"/>
        </w:rPr>
        <w:t>Bu boyut, sektör temsilcilerinin görüşlerinin programa yansıtılması, dış paydaş katkısı, fakülte-sektör iş birliği, mezunların sektör beklentilerini karşılaması ve programın genel yeterliliğini değerlendirmektedir.</w:t>
      </w:r>
    </w:p>
    <w:p>
      <w:pPr>
        <w:pStyle w:val="Heading3"/>
        <w:spacing w:before="160" w:after="120"/>
      </w:pPr>
      <w:r>
        <w:rPr>
          <w:rFonts w:ascii="Times New Roman" w:hAnsi="Times New Roman"/>
          <w:b/>
          <w:sz w:val="24"/>
        </w:rPr>
        <w:t>Madde 18’e İlişkin Bulgular</w:t>
      </w:r>
    </w:p>
    <w:p>
      <w:pPr>
        <w:spacing w:after="80" w:line="259" w:lineRule="auto"/>
      </w:pPr>
      <w:r>
        <w:rPr>
          <w:rFonts w:ascii="Times New Roman" w:hAnsi="Times New Roman"/>
          <w:b w:val="0"/>
          <w:i/>
          <w:sz w:val="22"/>
        </w:rPr>
        <w:t>(Program sektör temsilcilerinin görüşleri dikkate alınarak geliştirilmektedir.)</w:t>
      </w:r>
    </w:p>
    <w:p>
      <w:pPr>
        <w:spacing w:after="120" w:line="259" w:lineRule="auto"/>
        <w:ind w:firstLine="425"/>
      </w:pPr>
      <w:r>
        <w:rPr>
          <w:rFonts w:ascii="Times New Roman" w:hAnsi="Times New Roman"/>
          <w:b w:val="0"/>
          <w:i w:val="0"/>
          <w:sz w:val="22"/>
        </w:rPr>
        <w:t>Katılımcıların; 5'i (%45,5) Kesinlikle Katılıyorum, 2'i (%18,2) Katılıyorum, 3'i (%27,3) Kararsızım, 1'i (%9,1)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%63,6, kararsız görüş oranının %27,3 ve olumsuz görüş oranının %9,1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2</w:t>
            </w:r>
          </w:p>
        </w:tc>
        <w:tc>
          <w:tcPr>
            <w:tcW w:type="dxa" w:w="3135"/>
            <w:vAlign w:val="center"/>
          </w:tcPr>
          <w:p>
            <w:pPr>
              <w:spacing w:after="0"/>
              <w:jc w:val="center"/>
            </w:pPr>
            <w:r/>
            <w:r>
              <w:rPr>
                <w:rFonts w:ascii="Times New Roman" w:hAnsi="Times New Roman"/>
                <w:b w:val="0"/>
                <w:sz w:val="16"/>
              </w:rPr>
              <w:t>%18,2</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24" name="Picture 24"/>
            <wp:cNvGraphicFramePr>
              <a:graphicFrameLocks noChangeAspect="1"/>
            </wp:cNvGraphicFramePr>
            <a:graphic>
              <a:graphicData uri="http://schemas.openxmlformats.org/drawingml/2006/picture">
                <pic:pic>
                  <pic:nvPicPr>
                    <pic:cNvPr id="0" name="madde_18.png"/>
                    <pic:cNvPicPr/>
                  </pic:nvPicPr>
                  <pic:blipFill>
                    <a:blip r:embed="rId32"/>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19’e İlişkin Bulgular</w:t>
      </w:r>
    </w:p>
    <w:p>
      <w:pPr>
        <w:spacing w:after="80" w:line="259" w:lineRule="auto"/>
      </w:pPr>
      <w:r>
        <w:rPr>
          <w:rFonts w:ascii="Times New Roman" w:hAnsi="Times New Roman"/>
          <w:b w:val="0"/>
          <w:i/>
          <w:sz w:val="22"/>
        </w:rPr>
        <w:t>(Mezunlar sektör beklentilerini karşılayabilecek yeterliliğe sahiptir.)</w:t>
      </w:r>
    </w:p>
    <w:p>
      <w:pPr>
        <w:spacing w:after="120" w:line="259" w:lineRule="auto"/>
        <w:ind w:firstLine="425"/>
      </w:pPr>
      <w:r>
        <w:rPr>
          <w:rFonts w:ascii="Times New Roman" w:hAnsi="Times New Roman"/>
          <w:b w:val="0"/>
          <w:i w:val="0"/>
          <w:sz w:val="22"/>
        </w:rPr>
        <w:t>Katılımcıların; 4'i (%36,4) Kesinlikle Katılıyorum, 2'i (%18,2) Katılıyorum, 5'i (%45,5)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3,91/5,00 olması, olumlu görüş oranının %54,5, kararsız görüş oranının %45,5 ve olumsuz görüş oranının %0,0 düzeyinde gerçekleşmesi, Bu sonuç, ilgili alanda genel eğilimin olumlu olmakla birlikte geliştirmeye açık yönler bulunduğunu ve özellikle kararsız görüşlerin ayrıntılı biçimde izlenmesi gerektiğini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2</w:t>
            </w:r>
          </w:p>
        </w:tc>
        <w:tc>
          <w:tcPr>
            <w:tcW w:type="dxa" w:w="3135"/>
            <w:vAlign w:val="center"/>
          </w:tcPr>
          <w:p>
            <w:pPr>
              <w:spacing w:after="0"/>
              <w:jc w:val="center"/>
            </w:pPr>
            <w:r/>
            <w:r>
              <w:rPr>
                <w:rFonts w:ascii="Times New Roman" w:hAnsi="Times New Roman"/>
                <w:b w:val="0"/>
                <w:sz w:val="16"/>
              </w:rPr>
              <w:t>%18,2</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5</w:t>
            </w:r>
          </w:p>
        </w:tc>
        <w:tc>
          <w:tcPr>
            <w:tcW w:type="dxa" w:w="3135"/>
            <w:vAlign w:val="center"/>
          </w:tcPr>
          <w:p>
            <w:pPr>
              <w:spacing w:after="0"/>
              <w:jc w:val="center"/>
            </w:pPr>
            <w:r/>
            <w:r>
              <w:rPr>
                <w:rFonts w:ascii="Times New Roman" w:hAnsi="Times New Roman"/>
                <w:b w:val="0"/>
                <w:sz w:val="16"/>
              </w:rPr>
              <w:t>%45,5</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3,91 / 5,00</w:t>
            </w:r>
          </w:p>
        </w:tc>
      </w:tr>
    </w:tbl>
    <w:p>
      <w:pPr>
        <w:spacing w:after="160"/>
        <w:jc w:val="center"/>
      </w:pPr>
      <w:r>
        <w:drawing>
          <wp:inline xmlns:a="http://schemas.openxmlformats.org/drawingml/2006/main" xmlns:pic="http://schemas.openxmlformats.org/drawingml/2006/picture">
            <wp:extent cx="4480560" cy="2688336"/>
            <wp:docPr id="25" name="Picture 25"/>
            <wp:cNvGraphicFramePr>
              <a:graphicFrameLocks noChangeAspect="1"/>
            </wp:cNvGraphicFramePr>
            <a:graphic>
              <a:graphicData uri="http://schemas.openxmlformats.org/drawingml/2006/picture">
                <pic:pic>
                  <pic:nvPicPr>
                    <pic:cNvPr id="0" name="madde_19.png"/>
                    <pic:cNvPicPr/>
                  </pic:nvPicPr>
                  <pic:blipFill>
                    <a:blip r:embed="rId33"/>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20’e İlişkin Bulgular</w:t>
      </w:r>
    </w:p>
    <w:p>
      <w:pPr>
        <w:spacing w:after="80" w:line="259" w:lineRule="auto"/>
      </w:pPr>
      <w:r>
        <w:rPr>
          <w:rFonts w:ascii="Times New Roman" w:hAnsi="Times New Roman"/>
          <w:b w:val="0"/>
          <w:i/>
          <w:sz w:val="22"/>
        </w:rPr>
        <w:t>(Dış paydaş görüşleri iyileştirme süreçlerine yansıtılmaktadır.)</w:t>
      </w:r>
    </w:p>
    <w:p>
      <w:pPr>
        <w:spacing w:after="120" w:line="259" w:lineRule="auto"/>
        <w:ind w:firstLine="425"/>
      </w:pPr>
      <w:r>
        <w:rPr>
          <w:rFonts w:ascii="Times New Roman" w:hAnsi="Times New Roman"/>
          <w:b w:val="0"/>
          <w:i w:val="0"/>
          <w:sz w:val="22"/>
        </w:rPr>
        <w:t>Katılımcıların; 4'i (%36,4) Kesinlikle Katılıyorum, 4'i (%36,4)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4,09/5,00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4,09 / 5,00</w:t>
            </w:r>
          </w:p>
        </w:tc>
      </w:tr>
    </w:tbl>
    <w:p>
      <w:pPr>
        <w:spacing w:after="160"/>
        <w:jc w:val="center"/>
      </w:pPr>
      <w:r>
        <w:drawing>
          <wp:inline xmlns:a="http://schemas.openxmlformats.org/drawingml/2006/main" xmlns:pic="http://schemas.openxmlformats.org/drawingml/2006/picture">
            <wp:extent cx="4480560" cy="2688336"/>
            <wp:docPr id="26" name="Picture 26"/>
            <wp:cNvGraphicFramePr>
              <a:graphicFrameLocks noChangeAspect="1"/>
            </wp:cNvGraphicFramePr>
            <a:graphic>
              <a:graphicData uri="http://schemas.openxmlformats.org/drawingml/2006/picture">
                <pic:pic>
                  <pic:nvPicPr>
                    <pic:cNvPr id="0" name="madde_20.png"/>
                    <pic:cNvPicPr/>
                  </pic:nvPicPr>
                  <pic:blipFill>
                    <a:blip r:embed="rId34"/>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21’e İlişkin Bulgular</w:t>
      </w:r>
    </w:p>
    <w:p>
      <w:pPr>
        <w:spacing w:after="80" w:line="259" w:lineRule="auto"/>
      </w:pPr>
      <w:r>
        <w:rPr>
          <w:rFonts w:ascii="Times New Roman" w:hAnsi="Times New Roman"/>
          <w:b w:val="0"/>
          <w:i/>
          <w:sz w:val="22"/>
        </w:rPr>
        <w:t>(Fakülte sektör ile iş birliği içerisinde çalışmaktadır.)</w:t>
      </w:r>
    </w:p>
    <w:p>
      <w:pPr>
        <w:spacing w:after="120" w:line="259" w:lineRule="auto"/>
        <w:ind w:firstLine="425"/>
      </w:pPr>
      <w:r>
        <w:rPr>
          <w:rFonts w:ascii="Times New Roman" w:hAnsi="Times New Roman"/>
          <w:b w:val="0"/>
          <w:i w:val="0"/>
          <w:sz w:val="22"/>
        </w:rPr>
        <w:t>Katılımcıların; 4'i (%36,4) Kesinlikle Katılıyorum, 3'i (%27,3) Katılıyorum, 4'i (%36,4)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4,00/5,00 olması, olumlu görüş oranının %63,6, kararsız görüş oranının %36,4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4,00 / 5,00</w:t>
            </w:r>
          </w:p>
        </w:tc>
      </w:tr>
    </w:tbl>
    <w:p>
      <w:pPr>
        <w:spacing w:after="160"/>
        <w:jc w:val="center"/>
      </w:pPr>
      <w:r>
        <w:drawing>
          <wp:inline xmlns:a="http://schemas.openxmlformats.org/drawingml/2006/main" xmlns:pic="http://schemas.openxmlformats.org/drawingml/2006/picture">
            <wp:extent cx="4480560" cy="2688336"/>
            <wp:docPr id="27" name="Picture 27"/>
            <wp:cNvGraphicFramePr>
              <a:graphicFrameLocks noChangeAspect="1"/>
            </wp:cNvGraphicFramePr>
            <a:graphic>
              <a:graphicData uri="http://schemas.openxmlformats.org/drawingml/2006/picture">
                <pic:pic>
                  <pic:nvPicPr>
                    <pic:cNvPr id="0" name="madde_21.png"/>
                    <pic:cNvPicPr/>
                  </pic:nvPicPr>
                  <pic:blipFill>
                    <a:blip r:embed="rId35"/>
                    <a:stretch>
                      <a:fillRect/>
                    </a:stretch>
                  </pic:blipFill>
                  <pic:spPr>
                    <a:xfrm>
                      <a:off x="0" y="0"/>
                      <a:ext cx="4480560" cy="2688336"/>
                    </a:xfrm>
                    <a:prstGeom prst="rect"/>
                  </pic:spPr>
                </pic:pic>
              </a:graphicData>
            </a:graphic>
          </wp:inline>
        </w:drawing>
      </w:r>
    </w:p>
    <w:p>
      <w:pPr>
        <w:pStyle w:val="Heading3"/>
        <w:spacing w:before="160" w:after="120"/>
      </w:pPr>
      <w:r>
        <w:rPr>
          <w:rFonts w:ascii="Times New Roman" w:hAnsi="Times New Roman"/>
          <w:b/>
          <w:sz w:val="24"/>
        </w:rPr>
        <w:t>Madde 22’e İlişkin Bulgular</w:t>
      </w:r>
    </w:p>
    <w:p>
      <w:pPr>
        <w:spacing w:after="80" w:line="259" w:lineRule="auto"/>
      </w:pPr>
      <w:r>
        <w:rPr>
          <w:rFonts w:ascii="Times New Roman" w:hAnsi="Times New Roman"/>
          <w:b w:val="0"/>
          <w:i/>
          <w:sz w:val="22"/>
        </w:rPr>
        <w:t>(Program genel olarak yeterli düzeydedir.)</w:t>
      </w:r>
    </w:p>
    <w:p>
      <w:pPr>
        <w:spacing w:after="120" w:line="259" w:lineRule="auto"/>
        <w:ind w:firstLine="425"/>
      </w:pPr>
      <w:r>
        <w:rPr>
          <w:rFonts w:ascii="Times New Roman" w:hAnsi="Times New Roman"/>
          <w:b w:val="0"/>
          <w:i w:val="0"/>
          <w:sz w:val="22"/>
        </w:rPr>
        <w:t>Katılımcıların; 4'i (%36,4) Kesinlikle Katılıyorum, 4'i (%36,4) Katılıyorum, 3'i (%27,3) Kararsızım, 0'i (%0,0) Katılmıyorum, 0'i (%0,0) Kesinlikle Katılmıyorum şeklinde görüş bildirmiştir. Bu maddeye geçerli yanıt veren katılımcı sayısı 11'dir.</w:t>
      </w:r>
    </w:p>
    <w:p>
      <w:pPr>
        <w:spacing w:after="120" w:line="259" w:lineRule="auto"/>
        <w:ind w:firstLine="425"/>
      </w:pPr>
      <w:r>
        <w:rPr>
          <w:rFonts w:ascii="Times New Roman" w:hAnsi="Times New Roman"/>
          <w:b w:val="0"/>
          <w:i w:val="0"/>
          <w:sz w:val="22"/>
        </w:rPr>
        <w:t>Ortalama puanın 4,09/5,00 olması, olumlu görüş oranının %72,7, kararsız görüş oranının %27,3 ve olumsuz görüş oranının %0,0 düzeyinde gerçekleşmesi, Bu sonuç, ilgili alanda dış paydaş görüşlerinin genel olarak olumlu olduğunu; bununla birlikte kararsız görüşlerin program iyileştirme süreçlerinde dikkate alınmasının yararlı olacağını göstermektedir.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3</w:t>
            </w:r>
          </w:p>
        </w:tc>
        <w:tc>
          <w:tcPr>
            <w:tcW w:type="dxa" w:w="3135"/>
            <w:vAlign w:val="center"/>
          </w:tcPr>
          <w:p>
            <w:pPr>
              <w:spacing w:after="0"/>
              <w:jc w:val="center"/>
            </w:pPr>
            <w:r/>
            <w:r>
              <w:rPr>
                <w:rFonts w:ascii="Times New Roman" w:hAnsi="Times New Roman"/>
                <w:b w:val="0"/>
                <w:sz w:val="16"/>
              </w:rPr>
              <w:t>%27,3</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center"/>
            </w:pPr>
            <w:r/>
            <w:r>
              <w:rPr>
                <w:rFonts w:ascii="Times New Roman" w:hAnsi="Times New Roman"/>
                <w:b w:val="0"/>
                <w:sz w:val="16"/>
              </w:rPr>
              <w:t>Ortalama</w:t>
            </w:r>
          </w:p>
        </w:tc>
        <w:tc>
          <w:tcPr>
            <w:tcW w:type="dxa" w:w="3135"/>
            <w:vAlign w:val="center"/>
          </w:tcPr>
          <w:p>
            <w:pPr>
              <w:spacing w:after="0"/>
              <w:jc w:val="center"/>
            </w:pPr>
            <w:r/>
            <w:r>
              <w:rPr>
                <w:rFonts w:ascii="Times New Roman" w:hAnsi="Times New Roman"/>
                <w:b w:val="0"/>
                <w:sz w:val="16"/>
              </w:rPr>
            </w:r>
          </w:p>
        </w:tc>
        <w:tc>
          <w:tcPr>
            <w:tcW w:type="dxa" w:w="3135"/>
            <w:vAlign w:val="center"/>
          </w:tcPr>
          <w:p>
            <w:pPr>
              <w:spacing w:after="0"/>
              <w:jc w:val="center"/>
            </w:pPr>
            <w:r/>
            <w:r>
              <w:rPr>
                <w:rFonts w:ascii="Times New Roman" w:hAnsi="Times New Roman"/>
                <w:b w:val="0"/>
                <w:sz w:val="16"/>
              </w:rPr>
              <w:t>4,09 / 5,00</w:t>
            </w:r>
          </w:p>
        </w:tc>
      </w:tr>
    </w:tbl>
    <w:p>
      <w:pPr>
        <w:spacing w:after="160"/>
        <w:jc w:val="center"/>
      </w:pPr>
      <w:r>
        <w:drawing>
          <wp:inline xmlns:a="http://schemas.openxmlformats.org/drawingml/2006/main" xmlns:pic="http://schemas.openxmlformats.org/drawingml/2006/picture">
            <wp:extent cx="4480560" cy="2688336"/>
            <wp:docPr id="28" name="Picture 28"/>
            <wp:cNvGraphicFramePr>
              <a:graphicFrameLocks noChangeAspect="1"/>
            </wp:cNvGraphicFramePr>
            <a:graphic>
              <a:graphicData uri="http://schemas.openxmlformats.org/drawingml/2006/picture">
                <pic:pic>
                  <pic:nvPicPr>
                    <pic:cNvPr id="0" name="madde_22.png"/>
                    <pic:cNvPicPr/>
                  </pic:nvPicPr>
                  <pic:blipFill>
                    <a:blip r:embed="rId36"/>
                    <a:stretch>
                      <a:fillRect/>
                    </a:stretch>
                  </pic:blipFill>
                  <pic:spPr>
                    <a:xfrm>
                      <a:off x="0" y="0"/>
                      <a:ext cx="4480560" cy="2688336"/>
                    </a:xfrm>
                    <a:prstGeom prst="rect"/>
                  </pic:spPr>
                </pic:pic>
              </a:graphicData>
            </a:graphic>
          </wp:inline>
        </w:drawing>
      </w:r>
    </w:p>
    <w:p>
      <w:pPr>
        <w:pStyle w:val="Heading2"/>
        <w:spacing w:before="160" w:after="120"/>
      </w:pPr>
      <w:r>
        <w:rPr>
          <w:rFonts w:ascii="Times New Roman" w:hAnsi="Times New Roman"/>
          <w:b/>
          <w:color w:val="1F4E79"/>
          <w:sz w:val="26"/>
        </w:rPr>
        <w:t>5.6. Açık Uçlu Görüş ve Önerilere İlişkin Bulgular</w:t>
      </w:r>
    </w:p>
    <w:p>
      <w:pPr>
        <w:spacing w:after="120" w:line="259" w:lineRule="auto"/>
        <w:ind w:firstLine="425"/>
      </w:pPr>
      <w:r>
        <w:rPr>
          <w:rFonts w:ascii="Times New Roman" w:hAnsi="Times New Roman"/>
          <w:b w:val="0"/>
          <w:i w:val="0"/>
          <w:sz w:val="22"/>
        </w:rPr>
        <w:t>Açık uçlu yanıtlar incelendiğinde, dış paydaşların programın güçlü yönleri arasında akademik kadro, uygulama alanı ve fakültenin Siirt’in potansiyeliyle uyumlu olmasını vurguladıkları görülmektedir. Bu değerlendirmeler, fakültenin mevcut insan kaynağı, uygulama zemini ve bölgesel konumunun dış paydaşlar tarafından önemli avantajlar olarak algılandığını göstermektedir.</w:t>
      </w:r>
    </w:p>
    <w:p>
      <w:pPr>
        <w:spacing w:after="120" w:line="259" w:lineRule="auto"/>
        <w:ind w:firstLine="425"/>
      </w:pPr>
      <w:r>
        <w:rPr>
          <w:rFonts w:ascii="Times New Roman" w:hAnsi="Times New Roman"/>
          <w:b w:val="0"/>
          <w:i w:val="0"/>
          <w:sz w:val="22"/>
        </w:rPr>
        <w:t>Geliştirilmesi gereken alanlara ilişkin görüşlerde hayvan çeşitliliğinin artırılması, vatandaşla iletişim becerilerinin güçlendirilmesi, fizibilite çalışmalarının geliştirilmesi ve genel olarak tüm alanlarda sürekli iyileştirme yapılması gerektiği ifade edilmiştir. Müfredat açısından işletme ve ekonomi başlıklı ders veya eğitimlerin eklenmesi önerilmiş; mezunlarda cerrahi uygulama, kişisel gelişim ve daha sık uygulama eğitimi ihtiyacı dile getirilmiştir.</w:t>
      </w:r>
    </w:p>
    <w:p>
      <w:pPr>
        <w:spacing w:after="120" w:line="259" w:lineRule="auto"/>
        <w:ind w:firstLine="425"/>
      </w:pPr>
      <w:r>
        <w:rPr>
          <w:rFonts w:ascii="Times New Roman" w:hAnsi="Times New Roman"/>
          <w:b w:val="0"/>
          <w:i w:val="0"/>
          <w:sz w:val="22"/>
        </w:rPr>
        <w:t>Fakülte-sektör iş birliğinin geliştirilmesine yönelik önerilerde sempozyum ve eğitimlerle sektörün fakülteyle daha fazla buluşturulması, daha sık görüş alışverişi yapılması ve yatırım fizibilitelerinin geliştirilmesi gerektiği belirtilmiştir. Genel değerlendirme yanıtlarında ise fakülteye yönelik olumlu ifadelerin öne çıktığı, ancak fakültenin daha görünür, değerli ve sektörle daha güçlü ilişki kuran bir konuma taşınması yönünde beklenti bulunduğu görülmektedir.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4703"/>
        <w:gridCol w:w="4703"/>
      </w:tblGrid>
      <w:tr>
        <w:tc>
          <w:tcPr>
            <w:tcW w:type="dxa" w:w="4703"/>
            <w:vAlign w:val="center"/>
            <w:shd w:fill="D9EAF7"/>
          </w:tcPr>
          <w:p>
            <w:pPr>
              <w:spacing w:after="0"/>
              <w:jc w:val="center"/>
            </w:pPr>
            <w:r/>
            <w:r>
              <w:rPr>
                <w:rFonts w:ascii="Times New Roman" w:hAnsi="Times New Roman"/>
                <w:b/>
                <w:sz w:val="16"/>
              </w:rPr>
              <w:t>Tema</w:t>
            </w:r>
          </w:p>
        </w:tc>
        <w:tc>
          <w:tcPr>
            <w:tcW w:type="dxa" w:w="4703"/>
            <w:vAlign w:val="center"/>
            <w:shd w:fill="D9EAF7"/>
          </w:tcPr>
          <w:p>
            <w:pPr>
              <w:spacing w:after="0"/>
              <w:jc w:val="center"/>
            </w:pPr>
            <w:r/>
            <w:r>
              <w:rPr>
                <w:rFonts w:ascii="Times New Roman" w:hAnsi="Times New Roman"/>
                <w:b/>
                <w:sz w:val="16"/>
              </w:rPr>
              <w:t>Öne Çıkan Görüşler</w:t>
            </w:r>
          </w:p>
        </w:tc>
      </w:tr>
      <w:tr>
        <w:tc>
          <w:tcPr>
            <w:tcW w:type="dxa" w:w="4703"/>
            <w:vAlign w:val="center"/>
          </w:tcPr>
          <w:p>
            <w:pPr>
              <w:spacing w:after="0"/>
              <w:jc w:val="center"/>
            </w:pPr>
            <w:r/>
            <w:r>
              <w:rPr>
                <w:rFonts w:ascii="Times New Roman" w:hAnsi="Times New Roman"/>
                <w:b w:val="0"/>
                <w:sz w:val="16"/>
              </w:rPr>
              <w:t>Güçlü yönler</w:t>
            </w:r>
          </w:p>
        </w:tc>
        <w:tc>
          <w:tcPr>
            <w:tcW w:type="dxa" w:w="4703"/>
            <w:vAlign w:val="center"/>
          </w:tcPr>
          <w:p>
            <w:pPr>
              <w:spacing w:after="0"/>
              <w:jc w:val="left"/>
            </w:pPr>
            <w:r/>
            <w:r>
              <w:rPr>
                <w:rFonts w:ascii="Times New Roman" w:hAnsi="Times New Roman"/>
                <w:b w:val="0"/>
                <w:sz w:val="16"/>
              </w:rPr>
              <w:t>Akademik kadro, uygulama alanı, Siirt’in potansiyeli ile uyum.</w:t>
            </w:r>
          </w:p>
        </w:tc>
      </w:tr>
      <w:tr>
        <w:tc>
          <w:tcPr>
            <w:tcW w:type="dxa" w:w="4703"/>
            <w:vAlign w:val="center"/>
          </w:tcPr>
          <w:p>
            <w:pPr>
              <w:spacing w:after="0"/>
              <w:jc w:val="left"/>
            </w:pPr>
            <w:r/>
            <w:r>
              <w:rPr>
                <w:rFonts w:ascii="Times New Roman" w:hAnsi="Times New Roman"/>
                <w:b w:val="0"/>
                <w:sz w:val="16"/>
              </w:rPr>
              <w:t>Geliştirilmesi gereken alanlar</w:t>
            </w:r>
          </w:p>
        </w:tc>
        <w:tc>
          <w:tcPr>
            <w:tcW w:type="dxa" w:w="4703"/>
            <w:vAlign w:val="center"/>
          </w:tcPr>
          <w:p>
            <w:pPr>
              <w:spacing w:after="0"/>
              <w:jc w:val="left"/>
            </w:pPr>
            <w:r/>
            <w:r>
              <w:rPr>
                <w:rFonts w:ascii="Times New Roman" w:hAnsi="Times New Roman"/>
                <w:b w:val="0"/>
                <w:sz w:val="16"/>
              </w:rPr>
              <w:t>Hayvan çeşitliliği, vatandaşla iletişim, fizibilite çalışmaları, genel iyileştirme ihtiyacı.</w:t>
            </w:r>
          </w:p>
        </w:tc>
      </w:tr>
      <w:tr>
        <w:tc>
          <w:tcPr>
            <w:tcW w:type="dxa" w:w="4703"/>
            <w:vAlign w:val="center"/>
          </w:tcPr>
          <w:p>
            <w:pPr>
              <w:spacing w:after="0"/>
              <w:jc w:val="center"/>
            </w:pPr>
            <w:r/>
            <w:r>
              <w:rPr>
                <w:rFonts w:ascii="Times New Roman" w:hAnsi="Times New Roman"/>
                <w:b w:val="0"/>
                <w:sz w:val="16"/>
              </w:rPr>
              <w:t>Müfredat önerileri</w:t>
            </w:r>
          </w:p>
        </w:tc>
        <w:tc>
          <w:tcPr>
            <w:tcW w:type="dxa" w:w="4703"/>
            <w:vAlign w:val="center"/>
          </w:tcPr>
          <w:p>
            <w:pPr>
              <w:spacing w:after="0"/>
              <w:jc w:val="left"/>
            </w:pPr>
            <w:r/>
            <w:r>
              <w:rPr>
                <w:rFonts w:ascii="Times New Roman" w:hAnsi="Times New Roman"/>
                <w:b w:val="0"/>
                <w:sz w:val="16"/>
              </w:rPr>
              <w:t>İşletme ve ekonomi ders/eğitimlerinin eklenmesi.</w:t>
            </w:r>
          </w:p>
        </w:tc>
      </w:tr>
      <w:tr>
        <w:tc>
          <w:tcPr>
            <w:tcW w:type="dxa" w:w="4703"/>
            <w:vAlign w:val="center"/>
          </w:tcPr>
          <w:p>
            <w:pPr>
              <w:spacing w:after="0"/>
              <w:jc w:val="left"/>
            </w:pPr>
            <w:r/>
            <w:r>
              <w:rPr>
                <w:rFonts w:ascii="Times New Roman" w:hAnsi="Times New Roman"/>
                <w:b w:val="0"/>
                <w:sz w:val="16"/>
              </w:rPr>
              <w:t>Mezun yeterlilikleri</w:t>
            </w:r>
          </w:p>
        </w:tc>
        <w:tc>
          <w:tcPr>
            <w:tcW w:type="dxa" w:w="4703"/>
            <w:vAlign w:val="center"/>
          </w:tcPr>
          <w:p>
            <w:pPr>
              <w:spacing w:after="0"/>
              <w:jc w:val="left"/>
            </w:pPr>
            <w:r/>
            <w:r>
              <w:rPr>
                <w:rFonts w:ascii="Times New Roman" w:hAnsi="Times New Roman"/>
                <w:b w:val="0"/>
                <w:sz w:val="16"/>
              </w:rPr>
              <w:t>Cerrahi uygulama becerisi, kişisel gelişim, daha sık uygulama eğitimi.</w:t>
            </w:r>
          </w:p>
        </w:tc>
      </w:tr>
      <w:tr>
        <w:tc>
          <w:tcPr>
            <w:tcW w:type="dxa" w:w="4703"/>
            <w:vAlign w:val="center"/>
          </w:tcPr>
          <w:p>
            <w:pPr>
              <w:spacing w:after="0"/>
              <w:jc w:val="left"/>
            </w:pPr>
            <w:r/>
            <w:r>
              <w:rPr>
                <w:rFonts w:ascii="Times New Roman" w:hAnsi="Times New Roman"/>
                <w:b w:val="0"/>
                <w:sz w:val="16"/>
              </w:rPr>
              <w:t>Fakülte-sektör iş birliği</w:t>
            </w:r>
          </w:p>
        </w:tc>
        <w:tc>
          <w:tcPr>
            <w:tcW w:type="dxa" w:w="4703"/>
            <w:vAlign w:val="center"/>
          </w:tcPr>
          <w:p>
            <w:pPr>
              <w:spacing w:after="0"/>
              <w:jc w:val="left"/>
            </w:pPr>
            <w:r/>
            <w:r>
              <w:rPr>
                <w:rFonts w:ascii="Times New Roman" w:hAnsi="Times New Roman"/>
                <w:b w:val="0"/>
                <w:sz w:val="16"/>
              </w:rPr>
              <w:t>Sempozyum ve eğitimler, daha sık görüş alışverişi, yatırım fizibiliteleri.</w:t>
            </w:r>
          </w:p>
        </w:tc>
      </w:tr>
      <w:tr>
        <w:tc>
          <w:tcPr>
            <w:tcW w:type="dxa" w:w="4703"/>
            <w:vAlign w:val="center"/>
          </w:tcPr>
          <w:p>
            <w:pPr>
              <w:spacing w:after="0"/>
              <w:jc w:val="center"/>
            </w:pPr>
            <w:r/>
            <w:r>
              <w:rPr>
                <w:rFonts w:ascii="Times New Roman" w:hAnsi="Times New Roman"/>
                <w:b w:val="0"/>
                <w:sz w:val="16"/>
              </w:rPr>
              <w:t>Genel değerlendirme</w:t>
            </w:r>
          </w:p>
        </w:tc>
        <w:tc>
          <w:tcPr>
            <w:tcW w:type="dxa" w:w="4703"/>
            <w:vAlign w:val="center"/>
          </w:tcPr>
          <w:p>
            <w:pPr>
              <w:spacing w:after="0"/>
              <w:jc w:val="left"/>
            </w:pPr>
            <w:r/>
            <w:r>
              <w:rPr>
                <w:rFonts w:ascii="Times New Roman" w:hAnsi="Times New Roman"/>
                <w:b w:val="0"/>
                <w:sz w:val="16"/>
              </w:rPr>
              <w:t>Fakülte genel olarak olumlu değerlendirilmekle birlikte daha değerli ve görünür bir konuma taşınması beklenmektedir.</w:t>
            </w:r>
          </w:p>
        </w:tc>
      </w:tr>
    </w:tbl>
    <w:p>
      <w:pPr>
        <w:spacing w:after="160"/>
        <w:jc w:val="center"/>
      </w:pPr>
      <w:r>
        <w:drawing>
          <wp:inline xmlns:a="http://schemas.openxmlformats.org/drawingml/2006/main" xmlns:pic="http://schemas.openxmlformats.org/drawingml/2006/picture">
            <wp:extent cx="5303520" cy="3182112"/>
            <wp:docPr id="29" name="Picture 29"/>
            <wp:cNvGraphicFramePr>
              <a:graphicFrameLocks noChangeAspect="1"/>
            </wp:cNvGraphicFramePr>
            <a:graphic>
              <a:graphicData uri="http://schemas.openxmlformats.org/drawingml/2006/picture">
                <pic:pic>
                  <pic:nvPicPr>
                    <pic:cNvPr id="0" name="acik_uclu_temalar.png"/>
                    <pic:cNvPicPr/>
                  </pic:nvPicPr>
                  <pic:blipFill>
                    <a:blip r:embed="rId37"/>
                    <a:stretch>
                      <a:fillRect/>
                    </a:stretch>
                  </pic:blipFill>
                  <pic:spPr>
                    <a:xfrm>
                      <a:off x="0" y="0"/>
                      <a:ext cx="5303520" cy="3182112"/>
                    </a:xfrm>
                    <a:prstGeom prst="rect"/>
                  </pic:spPr>
                </pic:pic>
              </a:graphicData>
            </a:graphic>
          </wp:inline>
        </w:drawing>
      </w:r>
    </w:p>
    <w:p>
      <w:pPr>
        <w:pStyle w:val="Heading1"/>
        <w:spacing w:before="160" w:after="120"/>
      </w:pPr>
      <w:r>
        <w:rPr>
          <w:rFonts w:ascii="Times New Roman" w:hAnsi="Times New Roman"/>
          <w:b/>
          <w:color w:val="1F4E79"/>
          <w:sz w:val="30"/>
        </w:rPr>
        <w:t>6. Dikkat Kontrol Maddesine İlişkin Veri Kalitesi Değerlendirmesi</w:t>
      </w:r>
    </w:p>
    <w:p>
      <w:pPr>
        <w:spacing w:after="120" w:line="259" w:lineRule="auto"/>
        <w:ind w:firstLine="425"/>
      </w:pPr>
      <w:r>
        <w:rPr>
          <w:rFonts w:ascii="Times New Roman" w:hAnsi="Times New Roman"/>
          <w:b w:val="0"/>
          <w:i w:val="0"/>
          <w:sz w:val="22"/>
        </w:rPr>
        <w:t>Anket formunda veri kalitesini izlemek amacıyla “Bu soru kontrol amaçlıdır. Lütfen ‘Katılıyorum’ seçeneğini işaretleyiniz.” ifadesi yer almıştır. Bu madde genel ortalama ve madde değerlendirmesi hesaplamalarına dahil edilmemiştir.</w:t>
      </w:r>
    </w:p>
    <w:p>
      <w:pPr>
        <w:spacing w:after="120" w:line="259" w:lineRule="auto"/>
        <w:ind w:firstLine="425"/>
      </w:pPr>
      <w:r>
        <w:rPr>
          <w:rFonts w:ascii="Times New Roman" w:hAnsi="Times New Roman"/>
          <w:b w:val="0"/>
          <w:i w:val="0"/>
          <w:sz w:val="22"/>
        </w:rPr>
        <w:t>Kontrol maddesine verilen yanıtlar incelendiğinde 6 katılımcının “Katılıyorum”, 4 katılımcının “Kesinlikle Katılıyorum” ve 1 katılımcının “Kararsızım” seçeneğini işaretlediği görülmektedir. Katılımcı sayısının sınırlı olması nedeniyle değerlendirme veri seti genel düzeyde bütüncül olarak ele alınmış; ancak sonraki uygulamalarda kontrol maddesine ilişkin yönergenin daha açık biçimde vurgulanması ve veri kalitesinin ayrıca izlenmesi önerilmektedir.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3135"/>
        <w:gridCol w:w="3135"/>
        <w:gridCol w:w="3135"/>
      </w:tblGrid>
      <w:tr>
        <w:tc>
          <w:tcPr>
            <w:tcW w:type="dxa" w:w="3135"/>
            <w:vAlign w:val="center"/>
            <w:shd w:fill="D9EAF7"/>
          </w:tcPr>
          <w:p>
            <w:pPr>
              <w:spacing w:after="0"/>
              <w:jc w:val="center"/>
            </w:pPr>
            <w:r/>
            <w:r>
              <w:rPr>
                <w:rFonts w:ascii="Times New Roman" w:hAnsi="Times New Roman"/>
                <w:b/>
                <w:sz w:val="16"/>
              </w:rPr>
              <w:t>Seçenek</w:t>
            </w:r>
          </w:p>
        </w:tc>
        <w:tc>
          <w:tcPr>
            <w:tcW w:type="dxa" w:w="3135"/>
            <w:vAlign w:val="center"/>
            <w:shd w:fill="D9EAF7"/>
          </w:tcPr>
          <w:p>
            <w:pPr>
              <w:spacing w:after="0"/>
              <w:jc w:val="center"/>
            </w:pPr>
            <w:r/>
            <w:r>
              <w:rPr>
                <w:rFonts w:ascii="Times New Roman" w:hAnsi="Times New Roman"/>
                <w:b/>
                <w:sz w:val="16"/>
              </w:rPr>
              <w:t>Frekans</w:t>
            </w:r>
          </w:p>
        </w:tc>
        <w:tc>
          <w:tcPr>
            <w:tcW w:type="dxa" w:w="3135"/>
            <w:vAlign w:val="center"/>
            <w:shd w:fill="D9EAF7"/>
          </w:tcPr>
          <w:p>
            <w:pPr>
              <w:spacing w:after="0"/>
              <w:jc w:val="center"/>
            </w:pPr>
            <w:r/>
            <w:r>
              <w:rPr>
                <w:rFonts w:ascii="Times New Roman" w:hAnsi="Times New Roman"/>
                <w:b/>
                <w:sz w:val="16"/>
              </w:rPr>
              <w:t>Oran</w:t>
            </w:r>
          </w:p>
        </w:tc>
      </w:tr>
      <w:tr>
        <w:tc>
          <w:tcPr>
            <w:tcW w:type="dxa" w:w="3135"/>
            <w:vAlign w:val="center"/>
          </w:tcPr>
          <w:p>
            <w:pPr>
              <w:spacing w:after="0"/>
              <w:jc w:val="left"/>
            </w:pPr>
            <w:r/>
            <w:r>
              <w:rPr>
                <w:rFonts w:ascii="Times New Roman" w:hAnsi="Times New Roman"/>
                <w:b w:val="0"/>
                <w:sz w:val="16"/>
              </w:rPr>
              <w:t>5 = Kesinlikle Katılıyorum</w:t>
            </w:r>
          </w:p>
        </w:tc>
        <w:tc>
          <w:tcPr>
            <w:tcW w:type="dxa" w:w="3135"/>
            <w:vAlign w:val="center"/>
          </w:tcPr>
          <w:p>
            <w:pPr>
              <w:spacing w:after="0"/>
              <w:jc w:val="center"/>
            </w:pPr>
            <w:r/>
            <w:r>
              <w:rPr>
                <w:rFonts w:ascii="Times New Roman" w:hAnsi="Times New Roman"/>
                <w:b w:val="0"/>
                <w:sz w:val="16"/>
              </w:rPr>
              <w:t>4</w:t>
            </w:r>
          </w:p>
        </w:tc>
        <w:tc>
          <w:tcPr>
            <w:tcW w:type="dxa" w:w="3135"/>
            <w:vAlign w:val="center"/>
          </w:tcPr>
          <w:p>
            <w:pPr>
              <w:spacing w:after="0"/>
              <w:jc w:val="center"/>
            </w:pPr>
            <w:r/>
            <w:r>
              <w:rPr>
                <w:rFonts w:ascii="Times New Roman" w:hAnsi="Times New Roman"/>
                <w:b w:val="0"/>
                <w:sz w:val="16"/>
              </w:rPr>
              <w:t>%36,4</w:t>
            </w:r>
          </w:p>
        </w:tc>
      </w:tr>
      <w:tr>
        <w:tc>
          <w:tcPr>
            <w:tcW w:type="dxa" w:w="3135"/>
            <w:vAlign w:val="center"/>
          </w:tcPr>
          <w:p>
            <w:pPr>
              <w:spacing w:after="0"/>
              <w:jc w:val="center"/>
            </w:pPr>
            <w:r/>
            <w:r>
              <w:rPr>
                <w:rFonts w:ascii="Times New Roman" w:hAnsi="Times New Roman"/>
                <w:b w:val="0"/>
                <w:sz w:val="16"/>
              </w:rPr>
              <w:t>4 = Katılıyorum</w:t>
            </w:r>
          </w:p>
        </w:tc>
        <w:tc>
          <w:tcPr>
            <w:tcW w:type="dxa" w:w="3135"/>
            <w:vAlign w:val="center"/>
          </w:tcPr>
          <w:p>
            <w:pPr>
              <w:spacing w:after="0"/>
              <w:jc w:val="center"/>
            </w:pPr>
            <w:r/>
            <w:r>
              <w:rPr>
                <w:rFonts w:ascii="Times New Roman" w:hAnsi="Times New Roman"/>
                <w:b w:val="0"/>
                <w:sz w:val="16"/>
              </w:rPr>
              <w:t>6</w:t>
            </w:r>
          </w:p>
        </w:tc>
        <w:tc>
          <w:tcPr>
            <w:tcW w:type="dxa" w:w="3135"/>
            <w:vAlign w:val="center"/>
          </w:tcPr>
          <w:p>
            <w:pPr>
              <w:spacing w:after="0"/>
              <w:jc w:val="center"/>
            </w:pPr>
            <w:r/>
            <w:r>
              <w:rPr>
                <w:rFonts w:ascii="Times New Roman" w:hAnsi="Times New Roman"/>
                <w:b w:val="0"/>
                <w:sz w:val="16"/>
              </w:rPr>
              <w:t>%54,5</w:t>
            </w:r>
          </w:p>
        </w:tc>
      </w:tr>
      <w:tr>
        <w:tc>
          <w:tcPr>
            <w:tcW w:type="dxa" w:w="3135"/>
            <w:vAlign w:val="center"/>
          </w:tcPr>
          <w:p>
            <w:pPr>
              <w:spacing w:after="0"/>
              <w:jc w:val="center"/>
            </w:pPr>
            <w:r/>
            <w:r>
              <w:rPr>
                <w:rFonts w:ascii="Times New Roman" w:hAnsi="Times New Roman"/>
                <w:b w:val="0"/>
                <w:sz w:val="16"/>
              </w:rPr>
              <w:t>3 = Kararsızım</w:t>
            </w:r>
          </w:p>
        </w:tc>
        <w:tc>
          <w:tcPr>
            <w:tcW w:type="dxa" w:w="3135"/>
            <w:vAlign w:val="center"/>
          </w:tcPr>
          <w:p>
            <w:pPr>
              <w:spacing w:after="0"/>
              <w:jc w:val="center"/>
            </w:pPr>
            <w:r/>
            <w:r>
              <w:rPr>
                <w:rFonts w:ascii="Times New Roman" w:hAnsi="Times New Roman"/>
                <w:b w:val="0"/>
                <w:sz w:val="16"/>
              </w:rPr>
              <w:t>1</w:t>
            </w:r>
          </w:p>
        </w:tc>
        <w:tc>
          <w:tcPr>
            <w:tcW w:type="dxa" w:w="3135"/>
            <w:vAlign w:val="center"/>
          </w:tcPr>
          <w:p>
            <w:pPr>
              <w:spacing w:after="0"/>
              <w:jc w:val="center"/>
            </w:pPr>
            <w:r/>
            <w:r>
              <w:rPr>
                <w:rFonts w:ascii="Times New Roman" w:hAnsi="Times New Roman"/>
                <w:b w:val="0"/>
                <w:sz w:val="16"/>
              </w:rPr>
              <w:t>%9,1</w:t>
            </w:r>
          </w:p>
        </w:tc>
      </w:tr>
      <w:tr>
        <w:tc>
          <w:tcPr>
            <w:tcW w:type="dxa" w:w="3135"/>
            <w:vAlign w:val="center"/>
          </w:tcPr>
          <w:p>
            <w:pPr>
              <w:spacing w:after="0"/>
              <w:jc w:val="center"/>
            </w:pPr>
            <w:r/>
            <w:r>
              <w:rPr>
                <w:rFonts w:ascii="Times New Roman" w:hAnsi="Times New Roman"/>
                <w:b w:val="0"/>
                <w:sz w:val="16"/>
              </w:rPr>
              <w:t>2 =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r>
        <w:tc>
          <w:tcPr>
            <w:tcW w:type="dxa" w:w="3135"/>
            <w:vAlign w:val="center"/>
          </w:tcPr>
          <w:p>
            <w:pPr>
              <w:spacing w:after="0"/>
              <w:jc w:val="left"/>
            </w:pPr>
            <w:r/>
            <w:r>
              <w:rPr>
                <w:rFonts w:ascii="Times New Roman" w:hAnsi="Times New Roman"/>
                <w:b w:val="0"/>
                <w:sz w:val="16"/>
              </w:rPr>
              <w:t>1 = Kesinlikle Katılmıyorum</w:t>
            </w:r>
          </w:p>
        </w:tc>
        <w:tc>
          <w:tcPr>
            <w:tcW w:type="dxa" w:w="3135"/>
            <w:vAlign w:val="center"/>
          </w:tcPr>
          <w:p>
            <w:pPr>
              <w:spacing w:after="0"/>
              <w:jc w:val="center"/>
            </w:pPr>
            <w:r/>
            <w:r>
              <w:rPr>
                <w:rFonts w:ascii="Times New Roman" w:hAnsi="Times New Roman"/>
                <w:b w:val="0"/>
                <w:sz w:val="16"/>
              </w:rPr>
              <w:t>0</w:t>
            </w:r>
          </w:p>
        </w:tc>
        <w:tc>
          <w:tcPr>
            <w:tcW w:type="dxa" w:w="3135"/>
            <w:vAlign w:val="center"/>
          </w:tcPr>
          <w:p>
            <w:pPr>
              <w:spacing w:after="0"/>
              <w:jc w:val="center"/>
            </w:pPr>
            <w:r/>
            <w:r>
              <w:rPr>
                <w:rFonts w:ascii="Times New Roman" w:hAnsi="Times New Roman"/>
                <w:b w:val="0"/>
                <w:sz w:val="16"/>
              </w:rPr>
              <w:t>%0,0</w:t>
            </w:r>
          </w:p>
        </w:tc>
      </w:tr>
    </w:tbl>
    <w:p>
      <w:pPr>
        <w:pStyle w:val="Heading1"/>
        <w:spacing w:before="160" w:after="120"/>
      </w:pPr>
      <w:r>
        <w:rPr>
          <w:rFonts w:ascii="Times New Roman" w:hAnsi="Times New Roman"/>
          <w:b/>
          <w:color w:val="1F4E79"/>
          <w:sz w:val="30"/>
        </w:rPr>
        <w:t>7. Genel Değerlendirme</w:t>
      </w:r>
    </w:p>
    <w:p>
      <w:pPr>
        <w:spacing w:after="120" w:line="259" w:lineRule="auto"/>
        <w:ind w:firstLine="425"/>
      </w:pPr>
      <w:r>
        <w:rPr>
          <w:rFonts w:ascii="Times New Roman" w:hAnsi="Times New Roman"/>
          <w:b w:val="0"/>
          <w:i w:val="0"/>
          <w:sz w:val="22"/>
        </w:rPr>
        <w:t>Dış Paydaş Program Değerlendirme Anketi sonuçları genel olarak değerlendirildiğinde, 11 katılımcının yanıtları üzerinden hesaplanan genel ortalamanın 4,03/5,00 olduğu görülmektedir. Bu değer, dış paydaşların Veteriner Fakültesi programına ilişkin genel algısının olumlu yönde olduğunu göstermektedir.</w:t>
      </w:r>
    </w:p>
    <w:p>
      <w:pPr>
        <w:spacing w:after="120" w:line="259" w:lineRule="auto"/>
        <w:ind w:firstLine="425"/>
      </w:pPr>
      <w:r>
        <w:rPr>
          <w:rFonts w:ascii="Times New Roman" w:hAnsi="Times New Roman"/>
          <w:b w:val="0"/>
          <w:i w:val="0"/>
          <w:sz w:val="22"/>
        </w:rPr>
        <w:t>En yüksek ortalama 4,36/5,00 ile Madde 1 kapsamında elde edilmiştir. Bu madde, “Veteriner Fakültesi programının genel amacı sektör ihtiyaçları ile uyumludur.” ifadesine ilişkindir. Bu bulgu, dış paydaşların programın temel amacı ve toplumsal katkı/hayvan sağlığı bilinci gibi alanlarda fakülteyi güçlü değerlendirdiğini göstermektedir.</w:t>
      </w:r>
    </w:p>
    <w:p>
      <w:pPr>
        <w:spacing w:after="120" w:line="259" w:lineRule="auto"/>
        <w:ind w:firstLine="425"/>
      </w:pPr>
      <w:r>
        <w:rPr>
          <w:rFonts w:ascii="Times New Roman" w:hAnsi="Times New Roman"/>
          <w:b w:val="0"/>
          <w:i w:val="0"/>
          <w:sz w:val="22"/>
        </w:rPr>
        <w:t>En düşük ortalama ise 3,73/5,00 ile Madde 11 kapsamında görülmüştür. Bu madde, “Teknolojik gelişmeler ve yenilikçi uygulamalar programa yansıtılmaktadır.” ifadesine ilişkindir. Bu sonucun özellikle teknoloji ve yenilikçi uygulamaların programa daha görünür biçimde yansıtılması gerektiğine işaret ettiği değerlendirilmektedir.</w:t>
      </w:r>
    </w:p>
    <w:p>
      <w:pPr>
        <w:spacing w:after="120" w:line="259" w:lineRule="auto"/>
        <w:ind w:firstLine="425"/>
      </w:pPr>
      <w:r>
        <w:rPr>
          <w:rFonts w:ascii="Times New Roman" w:hAnsi="Times New Roman"/>
          <w:b w:val="0"/>
          <w:i w:val="0"/>
          <w:sz w:val="22"/>
        </w:rPr>
        <w:t>Boyutlara göre sonuçlar incelendiğinde en güçlü alanın program amacı ve temel yeterlilikler olduğu görülmektedir. Mezun yetkinlikleri, ders içerikleri, uygulama olanakları ve sektör iş birliği boyutları da olumlu düzeyde değerlendirilmiş; ancak bu alanlarda kararsız görüşlerin belirgin olması, dış paydaş beklentilerinin daha düzenli izlenmesi gerektiğini göstermiştir.</w:t>
      </w:r>
    </w:p>
    <w:p>
      <w:pPr>
        <w:spacing w:after="120" w:line="259" w:lineRule="auto"/>
        <w:ind w:firstLine="425"/>
      </w:pPr>
      <w:r>
        <w:rPr>
          <w:rFonts w:ascii="Times New Roman" w:hAnsi="Times New Roman"/>
          <w:b w:val="0"/>
          <w:i w:val="0"/>
          <w:sz w:val="22"/>
        </w:rPr>
        <w:t>Sonuç olarak, dış paydaş değerlendirmeleri fakülte programının genel olarak sektör beklentileriyle uyumlu ve kabul edilebilir düzeyde güçlü olduğunu ortaya koymaktadır. Bununla birlikte uygulama ve staj olanaklarının güçlendirilmesi, teknoloji ve yenilikçi uygulamaların programda daha görünür hale getirilmesi, mezunların iletişim, ekip çalışması, problem çözme ve cerrahi uygulama becerilerinin desteklenmesi, sektör temsilcileriyle daha sık temas kurulması ve dış paydaş görüşlerinin iyileştirme süreçlerine sistematik biçimde yansıtılması önerilmektedir.</w:t>
      </w:r>
    </w:p>
    <w:p>
      <w:pPr>
        <w:pStyle w:val="Heading1"/>
        <w:spacing w:before="160" w:after="120"/>
      </w:pPr>
      <w:r>
        <w:rPr>
          <w:rFonts w:ascii="Times New Roman" w:hAnsi="Times New Roman"/>
          <w:b/>
          <w:color w:val="1F4E79"/>
          <w:sz w:val="30"/>
        </w:rPr>
        <w:t>8. Ekler</w:t>
      </w:r>
    </w:p>
    <w:p>
      <w:pPr>
        <w:pStyle w:val="Heading2"/>
        <w:spacing w:before="160" w:after="120"/>
      </w:pPr>
      <w:r>
        <w:rPr>
          <w:rFonts w:ascii="Times New Roman" w:hAnsi="Times New Roman"/>
          <w:b/>
          <w:color w:val="1F4E79"/>
          <w:sz w:val="26"/>
        </w:rPr>
        <w:t>Ek 1. Genel Değerlendirme Özeti</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4703"/>
        <w:gridCol w:w="4703"/>
      </w:tblGrid>
      <w:tr>
        <w:tc>
          <w:tcPr>
            <w:tcW w:type="dxa" w:w="4703"/>
            <w:vAlign w:val="center"/>
            <w:shd w:fill="D9EAF7"/>
          </w:tcPr>
          <w:p>
            <w:pPr>
              <w:spacing w:after="0"/>
              <w:jc w:val="center"/>
            </w:pPr>
            <w:r/>
            <w:r>
              <w:rPr>
                <w:rFonts w:ascii="Times New Roman" w:hAnsi="Times New Roman"/>
                <w:b/>
                <w:sz w:val="18"/>
              </w:rPr>
              <w:t>Gösterge</w:t>
            </w:r>
          </w:p>
        </w:tc>
        <w:tc>
          <w:tcPr>
            <w:tcW w:type="dxa" w:w="4703"/>
            <w:vAlign w:val="center"/>
            <w:shd w:fill="D9EAF7"/>
          </w:tcPr>
          <w:p>
            <w:pPr>
              <w:spacing w:after="0"/>
              <w:jc w:val="center"/>
            </w:pPr>
            <w:r/>
            <w:r>
              <w:rPr>
                <w:rFonts w:ascii="Times New Roman" w:hAnsi="Times New Roman"/>
                <w:b/>
                <w:sz w:val="18"/>
              </w:rPr>
              <w:t>Değer</w:t>
            </w:r>
          </w:p>
        </w:tc>
      </w:tr>
      <w:tr>
        <w:tc>
          <w:tcPr>
            <w:tcW w:type="dxa" w:w="4703"/>
            <w:vAlign w:val="center"/>
          </w:tcPr>
          <w:p>
            <w:pPr>
              <w:spacing w:after="0"/>
              <w:jc w:val="center"/>
            </w:pPr>
            <w:r/>
            <w:r>
              <w:rPr>
                <w:rFonts w:ascii="Times New Roman" w:hAnsi="Times New Roman"/>
                <w:b w:val="0"/>
                <w:sz w:val="18"/>
              </w:rPr>
              <w:t>Katılımcı Sayısı</w:t>
            </w:r>
          </w:p>
        </w:tc>
        <w:tc>
          <w:tcPr>
            <w:tcW w:type="dxa" w:w="4703"/>
            <w:vAlign w:val="center"/>
          </w:tcPr>
          <w:p>
            <w:pPr>
              <w:spacing w:after="0"/>
              <w:jc w:val="center"/>
            </w:pPr>
            <w:r/>
            <w:r>
              <w:rPr>
                <w:rFonts w:ascii="Times New Roman" w:hAnsi="Times New Roman"/>
                <w:b w:val="0"/>
                <w:sz w:val="18"/>
              </w:rPr>
              <w:t>11</w:t>
            </w:r>
          </w:p>
        </w:tc>
      </w:tr>
      <w:tr>
        <w:tc>
          <w:tcPr>
            <w:tcW w:type="dxa" w:w="4703"/>
            <w:vAlign w:val="center"/>
          </w:tcPr>
          <w:p>
            <w:pPr>
              <w:spacing w:after="0"/>
              <w:jc w:val="left"/>
            </w:pPr>
            <w:r/>
            <w:r>
              <w:rPr>
                <w:rFonts w:ascii="Times New Roman" w:hAnsi="Times New Roman"/>
                <w:b w:val="0"/>
                <w:sz w:val="18"/>
              </w:rPr>
              <w:t>Değerlendirilen Likert Madde Sayısı</w:t>
            </w:r>
          </w:p>
        </w:tc>
        <w:tc>
          <w:tcPr>
            <w:tcW w:type="dxa" w:w="4703"/>
            <w:vAlign w:val="center"/>
          </w:tcPr>
          <w:p>
            <w:pPr>
              <w:spacing w:after="0"/>
              <w:jc w:val="center"/>
            </w:pPr>
            <w:r/>
            <w:r>
              <w:rPr>
                <w:rFonts w:ascii="Times New Roman" w:hAnsi="Times New Roman"/>
                <w:b w:val="0"/>
                <w:sz w:val="18"/>
              </w:rPr>
              <w:t>22</w:t>
            </w:r>
          </w:p>
        </w:tc>
      </w:tr>
      <w:tr>
        <w:tc>
          <w:tcPr>
            <w:tcW w:type="dxa" w:w="4703"/>
            <w:vAlign w:val="center"/>
          </w:tcPr>
          <w:p>
            <w:pPr>
              <w:spacing w:after="0"/>
              <w:jc w:val="center"/>
            </w:pPr>
            <w:r/>
            <w:r>
              <w:rPr>
                <w:rFonts w:ascii="Times New Roman" w:hAnsi="Times New Roman"/>
                <w:b w:val="0"/>
                <w:sz w:val="18"/>
              </w:rPr>
              <w:t>Genel Ortalama</w:t>
            </w:r>
          </w:p>
        </w:tc>
        <w:tc>
          <w:tcPr>
            <w:tcW w:type="dxa" w:w="4703"/>
            <w:vAlign w:val="center"/>
          </w:tcPr>
          <w:p>
            <w:pPr>
              <w:spacing w:after="0"/>
              <w:jc w:val="center"/>
            </w:pPr>
            <w:r/>
            <w:r>
              <w:rPr>
                <w:rFonts w:ascii="Times New Roman" w:hAnsi="Times New Roman"/>
                <w:b w:val="0"/>
                <w:sz w:val="18"/>
              </w:rPr>
              <w:t>4,03 / 5,00</w:t>
            </w:r>
          </w:p>
        </w:tc>
      </w:tr>
      <w:tr>
        <w:tc>
          <w:tcPr>
            <w:tcW w:type="dxa" w:w="4703"/>
            <w:vAlign w:val="center"/>
          </w:tcPr>
          <w:p>
            <w:pPr>
              <w:spacing w:after="0"/>
              <w:jc w:val="center"/>
            </w:pPr>
            <w:r/>
            <w:r>
              <w:rPr>
                <w:rFonts w:ascii="Times New Roman" w:hAnsi="Times New Roman"/>
                <w:b w:val="0"/>
                <w:sz w:val="18"/>
              </w:rPr>
              <w:t>Olumlu Görüş Oranı</w:t>
            </w:r>
          </w:p>
        </w:tc>
        <w:tc>
          <w:tcPr>
            <w:tcW w:type="dxa" w:w="4703"/>
            <w:vAlign w:val="center"/>
          </w:tcPr>
          <w:p>
            <w:pPr>
              <w:spacing w:after="0"/>
              <w:jc w:val="center"/>
            </w:pPr>
            <w:r/>
            <w:r>
              <w:rPr>
                <w:rFonts w:ascii="Times New Roman" w:hAnsi="Times New Roman"/>
                <w:b w:val="0"/>
                <w:sz w:val="18"/>
              </w:rPr>
              <w:t>%69,4</w:t>
            </w:r>
          </w:p>
        </w:tc>
      </w:tr>
      <w:tr>
        <w:tc>
          <w:tcPr>
            <w:tcW w:type="dxa" w:w="4703"/>
            <w:vAlign w:val="center"/>
          </w:tcPr>
          <w:p>
            <w:pPr>
              <w:spacing w:after="0"/>
              <w:jc w:val="left"/>
            </w:pPr>
            <w:r/>
            <w:r>
              <w:rPr>
                <w:rFonts w:ascii="Times New Roman" w:hAnsi="Times New Roman"/>
                <w:b w:val="0"/>
                <w:sz w:val="18"/>
              </w:rPr>
              <w:t>Kararsız Görüş Oranı</w:t>
            </w:r>
          </w:p>
        </w:tc>
        <w:tc>
          <w:tcPr>
            <w:tcW w:type="dxa" w:w="4703"/>
            <w:vAlign w:val="center"/>
          </w:tcPr>
          <w:p>
            <w:pPr>
              <w:spacing w:after="0"/>
              <w:jc w:val="center"/>
            </w:pPr>
            <w:r/>
            <w:r>
              <w:rPr>
                <w:rFonts w:ascii="Times New Roman" w:hAnsi="Times New Roman"/>
                <w:b w:val="0"/>
                <w:sz w:val="18"/>
              </w:rPr>
              <w:t>%29,3</w:t>
            </w:r>
          </w:p>
        </w:tc>
      </w:tr>
      <w:tr>
        <w:tc>
          <w:tcPr>
            <w:tcW w:type="dxa" w:w="4703"/>
            <w:vAlign w:val="center"/>
          </w:tcPr>
          <w:p>
            <w:pPr>
              <w:spacing w:after="0"/>
              <w:jc w:val="center"/>
            </w:pPr>
            <w:r/>
            <w:r>
              <w:rPr>
                <w:rFonts w:ascii="Times New Roman" w:hAnsi="Times New Roman"/>
                <w:b w:val="0"/>
                <w:sz w:val="18"/>
              </w:rPr>
              <w:t>Olumsuz Görüş Oranı</w:t>
            </w:r>
          </w:p>
        </w:tc>
        <w:tc>
          <w:tcPr>
            <w:tcW w:type="dxa" w:w="4703"/>
            <w:vAlign w:val="center"/>
          </w:tcPr>
          <w:p>
            <w:pPr>
              <w:spacing w:after="0"/>
              <w:jc w:val="center"/>
            </w:pPr>
            <w:r/>
            <w:r>
              <w:rPr>
                <w:rFonts w:ascii="Times New Roman" w:hAnsi="Times New Roman"/>
                <w:b w:val="0"/>
                <w:sz w:val="18"/>
              </w:rPr>
              <w:t>%1,2</w:t>
            </w:r>
          </w:p>
        </w:tc>
      </w:tr>
    </w:tbl>
    <w:p>
      <w:pPr>
        <w:pStyle w:val="Heading2"/>
        <w:spacing w:before="160" w:after="120"/>
      </w:pPr>
      <w:r>
        <w:rPr>
          <w:rFonts w:ascii="Times New Roman" w:hAnsi="Times New Roman"/>
          <w:b/>
          <w:color w:val="1F4E79"/>
          <w:sz w:val="26"/>
        </w:rPr>
        <w:t>Ek 2. Boyutlara Göre Genel Sonuçlar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1881"/>
        <w:gridCol w:w="1881"/>
        <w:gridCol w:w="1881"/>
        <w:gridCol w:w="1881"/>
        <w:gridCol w:w="1881"/>
      </w:tblGrid>
      <w:tr>
        <w:tc>
          <w:tcPr>
            <w:tcW w:type="dxa" w:w="1881"/>
            <w:vAlign w:val="center"/>
            <w:shd w:fill="D9EAF7"/>
          </w:tcPr>
          <w:p>
            <w:pPr>
              <w:spacing w:after="0"/>
              <w:jc w:val="center"/>
            </w:pPr>
            <w:r/>
            <w:r>
              <w:rPr>
                <w:rFonts w:ascii="Times New Roman" w:hAnsi="Times New Roman"/>
                <w:b/>
                <w:sz w:val="16"/>
              </w:rPr>
              <w:t>Boyut</w:t>
            </w:r>
          </w:p>
        </w:tc>
        <w:tc>
          <w:tcPr>
            <w:tcW w:type="dxa" w:w="1881"/>
            <w:vAlign w:val="center"/>
            <w:shd w:fill="D9EAF7"/>
          </w:tcPr>
          <w:p>
            <w:pPr>
              <w:spacing w:after="0"/>
              <w:jc w:val="center"/>
            </w:pPr>
            <w:r/>
            <w:r>
              <w:rPr>
                <w:rFonts w:ascii="Times New Roman" w:hAnsi="Times New Roman"/>
                <w:b/>
                <w:sz w:val="16"/>
              </w:rPr>
              <w:t>Ortalama</w:t>
            </w:r>
          </w:p>
        </w:tc>
        <w:tc>
          <w:tcPr>
            <w:tcW w:type="dxa" w:w="1881"/>
            <w:vAlign w:val="center"/>
            <w:shd w:fill="D9EAF7"/>
          </w:tcPr>
          <w:p>
            <w:pPr>
              <w:spacing w:after="0"/>
              <w:jc w:val="center"/>
            </w:pPr>
            <w:r/>
            <w:r>
              <w:rPr>
                <w:rFonts w:ascii="Times New Roman" w:hAnsi="Times New Roman"/>
                <w:b/>
                <w:sz w:val="16"/>
              </w:rPr>
              <w:t>Olumlu</w:t>
            </w:r>
          </w:p>
        </w:tc>
        <w:tc>
          <w:tcPr>
            <w:tcW w:type="dxa" w:w="1881"/>
            <w:vAlign w:val="center"/>
            <w:shd w:fill="D9EAF7"/>
          </w:tcPr>
          <w:p>
            <w:pPr>
              <w:spacing w:after="0"/>
              <w:jc w:val="center"/>
            </w:pPr>
            <w:r/>
            <w:r>
              <w:rPr>
                <w:rFonts w:ascii="Times New Roman" w:hAnsi="Times New Roman"/>
                <w:b/>
                <w:sz w:val="16"/>
              </w:rPr>
              <w:t>Kararsız</w:t>
            </w:r>
          </w:p>
        </w:tc>
        <w:tc>
          <w:tcPr>
            <w:tcW w:type="dxa" w:w="1881"/>
            <w:vAlign w:val="center"/>
            <w:shd w:fill="D9EAF7"/>
          </w:tcPr>
          <w:p>
            <w:pPr>
              <w:spacing w:after="0"/>
              <w:jc w:val="center"/>
            </w:pPr>
            <w:r/>
            <w:r>
              <w:rPr>
                <w:rFonts w:ascii="Times New Roman" w:hAnsi="Times New Roman"/>
                <w:b/>
                <w:sz w:val="16"/>
              </w:rPr>
              <w:t>Olumsuz</w:t>
            </w:r>
          </w:p>
        </w:tc>
      </w:tr>
      <w:tr>
        <w:tc>
          <w:tcPr>
            <w:tcW w:type="dxa" w:w="1881"/>
            <w:vAlign w:val="center"/>
          </w:tcPr>
          <w:p>
            <w:pPr>
              <w:spacing w:after="0"/>
              <w:jc w:val="left"/>
            </w:pPr>
            <w:r/>
            <w:r>
              <w:rPr>
                <w:rFonts w:ascii="Times New Roman" w:hAnsi="Times New Roman"/>
                <w:b w:val="0"/>
                <w:sz w:val="16"/>
              </w:rPr>
              <w:t>Program Amacı ve Temel Yeterlilikler</w:t>
            </w:r>
          </w:p>
        </w:tc>
        <w:tc>
          <w:tcPr>
            <w:tcW w:type="dxa" w:w="1881"/>
            <w:vAlign w:val="center"/>
          </w:tcPr>
          <w:p>
            <w:pPr>
              <w:spacing w:after="0"/>
              <w:jc w:val="center"/>
            </w:pPr>
            <w:r/>
            <w:r>
              <w:rPr>
                <w:rFonts w:ascii="Times New Roman" w:hAnsi="Times New Roman"/>
                <w:b w:val="0"/>
                <w:sz w:val="16"/>
              </w:rPr>
              <w:t>4,20</w:t>
            </w:r>
          </w:p>
        </w:tc>
        <w:tc>
          <w:tcPr>
            <w:tcW w:type="dxa" w:w="1881"/>
            <w:vAlign w:val="center"/>
          </w:tcPr>
          <w:p>
            <w:pPr>
              <w:spacing w:after="0"/>
              <w:jc w:val="center"/>
            </w:pPr>
            <w:r/>
            <w:r>
              <w:rPr>
                <w:rFonts w:ascii="Times New Roman" w:hAnsi="Times New Roman"/>
                <w:b w:val="0"/>
                <w:sz w:val="16"/>
              </w:rPr>
              <w:t>%80,0</w:t>
            </w:r>
          </w:p>
        </w:tc>
        <w:tc>
          <w:tcPr>
            <w:tcW w:type="dxa" w:w="1881"/>
            <w:vAlign w:val="center"/>
          </w:tcPr>
          <w:p>
            <w:pPr>
              <w:spacing w:after="0"/>
              <w:jc w:val="center"/>
            </w:pPr>
            <w:r/>
            <w:r>
              <w:rPr>
                <w:rFonts w:ascii="Times New Roman" w:hAnsi="Times New Roman"/>
                <w:b w:val="0"/>
                <w:sz w:val="16"/>
              </w:rPr>
              <w:t>%20,0</w:t>
            </w:r>
          </w:p>
        </w:tc>
        <w:tc>
          <w:tcPr>
            <w:tcW w:type="dxa" w:w="1881"/>
            <w:vAlign w:val="center"/>
          </w:tcPr>
          <w:p>
            <w:pPr>
              <w:spacing w:after="0"/>
              <w:jc w:val="center"/>
            </w:pPr>
            <w:r/>
            <w:r>
              <w:rPr>
                <w:rFonts w:ascii="Times New Roman" w:hAnsi="Times New Roman"/>
                <w:b w:val="0"/>
                <w:sz w:val="16"/>
              </w:rPr>
              <w:t>%0,0</w:t>
            </w:r>
          </w:p>
        </w:tc>
      </w:tr>
      <w:tr>
        <w:tc>
          <w:tcPr>
            <w:tcW w:type="dxa" w:w="1881"/>
            <w:vAlign w:val="center"/>
          </w:tcPr>
          <w:p>
            <w:pPr>
              <w:spacing w:after="0"/>
              <w:jc w:val="center"/>
            </w:pPr>
            <w:r/>
            <w:r>
              <w:rPr>
                <w:rFonts w:ascii="Times New Roman" w:hAnsi="Times New Roman"/>
                <w:b w:val="0"/>
                <w:sz w:val="16"/>
              </w:rPr>
              <w:t>Mezun Yetkinlikleri</w:t>
            </w:r>
          </w:p>
        </w:tc>
        <w:tc>
          <w:tcPr>
            <w:tcW w:type="dxa" w:w="1881"/>
            <w:vAlign w:val="center"/>
          </w:tcPr>
          <w:p>
            <w:pPr>
              <w:spacing w:after="0"/>
              <w:jc w:val="center"/>
            </w:pPr>
            <w:r/>
            <w:r>
              <w:rPr>
                <w:rFonts w:ascii="Times New Roman" w:hAnsi="Times New Roman"/>
                <w:b w:val="0"/>
                <w:sz w:val="16"/>
              </w:rPr>
              <w:t>4,00</w:t>
            </w:r>
          </w:p>
        </w:tc>
        <w:tc>
          <w:tcPr>
            <w:tcW w:type="dxa" w:w="1881"/>
            <w:vAlign w:val="center"/>
          </w:tcPr>
          <w:p>
            <w:pPr>
              <w:spacing w:after="0"/>
              <w:jc w:val="center"/>
            </w:pPr>
            <w:r/>
            <w:r>
              <w:rPr>
                <w:rFonts w:ascii="Times New Roman" w:hAnsi="Times New Roman"/>
                <w:b w:val="0"/>
                <w:sz w:val="16"/>
              </w:rPr>
              <w:t>%60,6</w:t>
            </w:r>
          </w:p>
        </w:tc>
        <w:tc>
          <w:tcPr>
            <w:tcW w:type="dxa" w:w="1881"/>
            <w:vAlign w:val="center"/>
          </w:tcPr>
          <w:p>
            <w:pPr>
              <w:spacing w:after="0"/>
              <w:jc w:val="center"/>
            </w:pPr>
            <w:r/>
            <w:r>
              <w:rPr>
                <w:rFonts w:ascii="Times New Roman" w:hAnsi="Times New Roman"/>
                <w:b w:val="0"/>
                <w:sz w:val="16"/>
              </w:rPr>
              <w:t>%39,4</w:t>
            </w:r>
          </w:p>
        </w:tc>
        <w:tc>
          <w:tcPr>
            <w:tcW w:type="dxa" w:w="1881"/>
            <w:vAlign w:val="center"/>
          </w:tcPr>
          <w:p>
            <w:pPr>
              <w:spacing w:after="0"/>
              <w:jc w:val="center"/>
            </w:pPr>
            <w:r/>
            <w:r>
              <w:rPr>
                <w:rFonts w:ascii="Times New Roman" w:hAnsi="Times New Roman"/>
                <w:b w:val="0"/>
                <w:sz w:val="16"/>
              </w:rPr>
              <w:t>%0,0</w:t>
            </w:r>
          </w:p>
        </w:tc>
      </w:tr>
      <w:tr>
        <w:tc>
          <w:tcPr>
            <w:tcW w:type="dxa" w:w="1881"/>
            <w:vAlign w:val="center"/>
          </w:tcPr>
          <w:p>
            <w:pPr>
              <w:spacing w:after="0"/>
              <w:jc w:val="left"/>
            </w:pPr>
            <w:r/>
            <w:r>
              <w:rPr>
                <w:rFonts w:ascii="Times New Roman" w:hAnsi="Times New Roman"/>
                <w:b w:val="0"/>
                <w:sz w:val="16"/>
              </w:rPr>
              <w:t>Eğitim Dengesi, Disiplinler Arası Yapı ve Teknoloji</w:t>
            </w:r>
          </w:p>
        </w:tc>
        <w:tc>
          <w:tcPr>
            <w:tcW w:type="dxa" w:w="1881"/>
            <w:vAlign w:val="center"/>
          </w:tcPr>
          <w:p>
            <w:pPr>
              <w:spacing w:after="0"/>
              <w:jc w:val="center"/>
            </w:pPr>
            <w:r/>
            <w:r>
              <w:rPr>
                <w:rFonts w:ascii="Times New Roman" w:hAnsi="Times New Roman"/>
                <w:b w:val="0"/>
                <w:sz w:val="16"/>
              </w:rPr>
              <w:t>3,95</w:t>
            </w:r>
          </w:p>
        </w:tc>
        <w:tc>
          <w:tcPr>
            <w:tcW w:type="dxa" w:w="1881"/>
            <w:vAlign w:val="center"/>
          </w:tcPr>
          <w:p>
            <w:pPr>
              <w:spacing w:after="0"/>
              <w:jc w:val="center"/>
            </w:pPr>
            <w:r/>
            <w:r>
              <w:rPr>
                <w:rFonts w:ascii="Times New Roman" w:hAnsi="Times New Roman"/>
                <w:b w:val="0"/>
                <w:sz w:val="16"/>
              </w:rPr>
              <w:t>%70,5</w:t>
            </w:r>
          </w:p>
        </w:tc>
        <w:tc>
          <w:tcPr>
            <w:tcW w:type="dxa" w:w="1881"/>
            <w:vAlign w:val="center"/>
          </w:tcPr>
          <w:p>
            <w:pPr>
              <w:spacing w:after="0"/>
              <w:jc w:val="center"/>
            </w:pPr>
            <w:r/>
            <w:r>
              <w:rPr>
                <w:rFonts w:ascii="Times New Roman" w:hAnsi="Times New Roman"/>
                <w:b w:val="0"/>
                <w:sz w:val="16"/>
              </w:rPr>
              <w:t>%27,3</w:t>
            </w:r>
          </w:p>
        </w:tc>
        <w:tc>
          <w:tcPr>
            <w:tcW w:type="dxa" w:w="1881"/>
            <w:vAlign w:val="center"/>
          </w:tcPr>
          <w:p>
            <w:pPr>
              <w:spacing w:after="0"/>
              <w:jc w:val="center"/>
            </w:pPr>
            <w:r/>
            <w:r>
              <w:rPr>
                <w:rFonts w:ascii="Times New Roman" w:hAnsi="Times New Roman"/>
                <w:b w:val="0"/>
                <w:sz w:val="16"/>
              </w:rPr>
              <w:t>%2,3</w:t>
            </w:r>
          </w:p>
        </w:tc>
      </w:tr>
      <w:tr>
        <w:tc>
          <w:tcPr>
            <w:tcW w:type="dxa" w:w="1881"/>
            <w:vAlign w:val="center"/>
          </w:tcPr>
          <w:p>
            <w:pPr>
              <w:spacing w:after="0"/>
              <w:jc w:val="left"/>
            </w:pPr>
            <w:r/>
            <w:r>
              <w:rPr>
                <w:rFonts w:ascii="Times New Roman" w:hAnsi="Times New Roman"/>
                <w:b w:val="0"/>
                <w:sz w:val="16"/>
              </w:rPr>
              <w:t>Ders İçerikleri, Uygulama ve Mesleki Yetkinlik</w:t>
            </w:r>
          </w:p>
        </w:tc>
        <w:tc>
          <w:tcPr>
            <w:tcW w:type="dxa" w:w="1881"/>
            <w:vAlign w:val="center"/>
          </w:tcPr>
          <w:p>
            <w:pPr>
              <w:spacing w:after="0"/>
              <w:jc w:val="center"/>
            </w:pPr>
            <w:r/>
            <w:r>
              <w:rPr>
                <w:rFonts w:ascii="Times New Roman" w:hAnsi="Times New Roman"/>
                <w:b w:val="0"/>
                <w:sz w:val="16"/>
              </w:rPr>
              <w:t>3,96</w:t>
            </w:r>
          </w:p>
        </w:tc>
        <w:tc>
          <w:tcPr>
            <w:tcW w:type="dxa" w:w="1881"/>
            <w:vAlign w:val="center"/>
          </w:tcPr>
          <w:p>
            <w:pPr>
              <w:spacing w:after="0"/>
              <w:jc w:val="center"/>
            </w:pPr>
            <w:r/>
            <w:r>
              <w:rPr>
                <w:rFonts w:ascii="Times New Roman" w:hAnsi="Times New Roman"/>
                <w:b w:val="0"/>
                <w:sz w:val="16"/>
              </w:rPr>
              <w:t>%67,3</w:t>
            </w:r>
          </w:p>
        </w:tc>
        <w:tc>
          <w:tcPr>
            <w:tcW w:type="dxa" w:w="1881"/>
            <w:vAlign w:val="center"/>
          </w:tcPr>
          <w:p>
            <w:pPr>
              <w:spacing w:after="0"/>
              <w:jc w:val="center"/>
            </w:pPr>
            <w:r/>
            <w:r>
              <w:rPr>
                <w:rFonts w:ascii="Times New Roman" w:hAnsi="Times New Roman"/>
                <w:b w:val="0"/>
                <w:sz w:val="16"/>
              </w:rPr>
              <w:t>%30,9</w:t>
            </w:r>
          </w:p>
        </w:tc>
        <w:tc>
          <w:tcPr>
            <w:tcW w:type="dxa" w:w="1881"/>
            <w:vAlign w:val="center"/>
          </w:tcPr>
          <w:p>
            <w:pPr>
              <w:spacing w:after="0"/>
              <w:jc w:val="center"/>
            </w:pPr>
            <w:r/>
            <w:r>
              <w:rPr>
                <w:rFonts w:ascii="Times New Roman" w:hAnsi="Times New Roman"/>
                <w:b w:val="0"/>
                <w:sz w:val="16"/>
              </w:rPr>
              <w:t>%1,8</w:t>
            </w:r>
          </w:p>
        </w:tc>
      </w:tr>
      <w:tr>
        <w:tc>
          <w:tcPr>
            <w:tcW w:type="dxa" w:w="1881"/>
            <w:vAlign w:val="center"/>
          </w:tcPr>
          <w:p>
            <w:pPr>
              <w:spacing w:after="0"/>
              <w:jc w:val="left"/>
            </w:pPr>
            <w:r/>
            <w:r>
              <w:rPr>
                <w:rFonts w:ascii="Times New Roman" w:hAnsi="Times New Roman"/>
                <w:b w:val="0"/>
                <w:sz w:val="16"/>
              </w:rPr>
              <w:t>Sektör İş Birliği, Dış Paydaş Katkısı ve Genel Yeterlilik</w:t>
            </w:r>
          </w:p>
        </w:tc>
        <w:tc>
          <w:tcPr>
            <w:tcW w:type="dxa" w:w="1881"/>
            <w:vAlign w:val="center"/>
          </w:tcPr>
          <w:p>
            <w:pPr>
              <w:spacing w:after="0"/>
              <w:jc w:val="center"/>
            </w:pPr>
            <w:r/>
            <w:r>
              <w:rPr>
                <w:rFonts w:ascii="Times New Roman" w:hAnsi="Times New Roman"/>
                <w:b w:val="0"/>
                <w:sz w:val="16"/>
              </w:rPr>
              <w:t>4,02</w:t>
            </w:r>
          </w:p>
        </w:tc>
        <w:tc>
          <w:tcPr>
            <w:tcW w:type="dxa" w:w="1881"/>
            <w:vAlign w:val="center"/>
          </w:tcPr>
          <w:p>
            <w:pPr>
              <w:spacing w:after="0"/>
              <w:jc w:val="center"/>
            </w:pPr>
            <w:r/>
            <w:r>
              <w:rPr>
                <w:rFonts w:ascii="Times New Roman" w:hAnsi="Times New Roman"/>
                <w:b w:val="0"/>
                <w:sz w:val="16"/>
              </w:rPr>
              <w:t>%65,5</w:t>
            </w:r>
          </w:p>
        </w:tc>
        <w:tc>
          <w:tcPr>
            <w:tcW w:type="dxa" w:w="1881"/>
            <w:vAlign w:val="center"/>
          </w:tcPr>
          <w:p>
            <w:pPr>
              <w:spacing w:after="0"/>
              <w:jc w:val="center"/>
            </w:pPr>
            <w:r/>
            <w:r>
              <w:rPr>
                <w:rFonts w:ascii="Times New Roman" w:hAnsi="Times New Roman"/>
                <w:b w:val="0"/>
                <w:sz w:val="16"/>
              </w:rPr>
              <w:t>%32,7</w:t>
            </w:r>
          </w:p>
        </w:tc>
        <w:tc>
          <w:tcPr>
            <w:tcW w:type="dxa" w:w="1881"/>
            <w:vAlign w:val="center"/>
          </w:tcPr>
          <w:p>
            <w:pPr>
              <w:spacing w:after="0"/>
              <w:jc w:val="center"/>
            </w:pPr>
            <w:r/>
            <w:r>
              <w:rPr>
                <w:rFonts w:ascii="Times New Roman" w:hAnsi="Times New Roman"/>
                <w:b w:val="0"/>
                <w:sz w:val="16"/>
              </w:rPr>
              <w:t>%1,8</w:t>
            </w:r>
          </w:p>
        </w:tc>
      </w:tr>
    </w:tbl>
    <w:p>
      <w:pPr>
        <w:pStyle w:val="Heading2"/>
        <w:spacing w:before="160" w:after="120"/>
      </w:pPr>
      <w:r>
        <w:rPr>
          <w:rFonts w:ascii="Times New Roman" w:hAnsi="Times New Roman"/>
          <w:b/>
          <w:color w:val="1F4E79"/>
          <w:sz w:val="26"/>
        </w:rPr>
        <w:t>Ek 3. Maddelere Ait Ortalama Puanlar</w:t>
      </w:r>
    </w:p>
    <w:tbl>
      <w:tblPr>
        <w:tblStyle w:val="TableGrid"/>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Grid>
        <w:gridCol w:w="1568"/>
        <w:gridCol w:w="1568"/>
        <w:gridCol w:w="1568"/>
        <w:gridCol w:w="1568"/>
        <w:gridCol w:w="1568"/>
        <w:gridCol w:w="1568"/>
      </w:tblGrid>
      <w:tr>
        <w:tc>
          <w:tcPr>
            <w:tcW w:type="dxa" w:w="1568"/>
            <w:vAlign w:val="center"/>
            <w:shd w:fill="D9EAF7"/>
          </w:tcPr>
          <w:p>
            <w:pPr>
              <w:spacing w:after="0"/>
              <w:jc w:val="center"/>
            </w:pPr>
            <w:r/>
            <w:r>
              <w:rPr>
                <w:rFonts w:ascii="Times New Roman" w:hAnsi="Times New Roman"/>
                <w:b/>
                <w:sz w:val="14"/>
              </w:rPr>
              <w:t>No</w:t>
            </w:r>
          </w:p>
        </w:tc>
        <w:tc>
          <w:tcPr>
            <w:tcW w:type="dxa" w:w="1568"/>
            <w:vAlign w:val="center"/>
            <w:shd w:fill="D9EAF7"/>
          </w:tcPr>
          <w:p>
            <w:pPr>
              <w:spacing w:after="0"/>
              <w:jc w:val="center"/>
            </w:pPr>
            <w:r/>
            <w:r>
              <w:rPr>
                <w:rFonts w:ascii="Times New Roman" w:hAnsi="Times New Roman"/>
                <w:b/>
                <w:sz w:val="14"/>
              </w:rPr>
              <w:t>Madde</w:t>
            </w:r>
          </w:p>
        </w:tc>
        <w:tc>
          <w:tcPr>
            <w:tcW w:type="dxa" w:w="1568"/>
            <w:vAlign w:val="center"/>
            <w:shd w:fill="D9EAF7"/>
          </w:tcPr>
          <w:p>
            <w:pPr>
              <w:spacing w:after="0"/>
              <w:jc w:val="center"/>
            </w:pPr>
            <w:r/>
            <w:r>
              <w:rPr>
                <w:rFonts w:ascii="Times New Roman" w:hAnsi="Times New Roman"/>
                <w:b/>
                <w:sz w:val="14"/>
              </w:rPr>
              <w:t>Ortalama</w:t>
            </w:r>
          </w:p>
        </w:tc>
        <w:tc>
          <w:tcPr>
            <w:tcW w:type="dxa" w:w="1568"/>
            <w:vAlign w:val="center"/>
            <w:shd w:fill="D9EAF7"/>
          </w:tcPr>
          <w:p>
            <w:pPr>
              <w:spacing w:after="0"/>
              <w:jc w:val="center"/>
            </w:pPr>
            <w:r/>
            <w:r>
              <w:rPr>
                <w:rFonts w:ascii="Times New Roman" w:hAnsi="Times New Roman"/>
                <w:b/>
                <w:sz w:val="14"/>
              </w:rPr>
              <w:t>Olumlu</w:t>
            </w:r>
          </w:p>
        </w:tc>
        <w:tc>
          <w:tcPr>
            <w:tcW w:type="dxa" w:w="1568"/>
            <w:vAlign w:val="center"/>
            <w:shd w:fill="D9EAF7"/>
          </w:tcPr>
          <w:p>
            <w:pPr>
              <w:spacing w:after="0"/>
              <w:jc w:val="center"/>
            </w:pPr>
            <w:r/>
            <w:r>
              <w:rPr>
                <w:rFonts w:ascii="Times New Roman" w:hAnsi="Times New Roman"/>
                <w:b/>
                <w:sz w:val="14"/>
              </w:rPr>
              <w:t>Kararsız</w:t>
            </w:r>
          </w:p>
        </w:tc>
        <w:tc>
          <w:tcPr>
            <w:tcW w:type="dxa" w:w="1568"/>
            <w:vAlign w:val="center"/>
            <w:shd w:fill="D9EAF7"/>
          </w:tcPr>
          <w:p>
            <w:pPr>
              <w:spacing w:after="0"/>
              <w:jc w:val="center"/>
            </w:pPr>
            <w:r/>
            <w:r>
              <w:rPr>
                <w:rFonts w:ascii="Times New Roman" w:hAnsi="Times New Roman"/>
                <w:b/>
                <w:sz w:val="14"/>
              </w:rPr>
              <w:t>Olumsuz</w:t>
            </w:r>
          </w:p>
        </w:tc>
      </w:tr>
      <w:tr>
        <w:tc>
          <w:tcPr>
            <w:tcW w:type="dxa" w:w="1568"/>
            <w:vAlign w:val="center"/>
          </w:tcPr>
          <w:p>
            <w:pPr>
              <w:spacing w:after="0"/>
              <w:jc w:val="center"/>
            </w:pPr>
            <w:r/>
            <w:r>
              <w:rPr>
                <w:rFonts w:ascii="Times New Roman" w:hAnsi="Times New Roman"/>
                <w:b w:val="0"/>
                <w:sz w:val="14"/>
              </w:rPr>
              <w:t>1</w:t>
            </w:r>
          </w:p>
        </w:tc>
        <w:tc>
          <w:tcPr>
            <w:tcW w:type="dxa" w:w="1568"/>
            <w:vAlign w:val="center"/>
          </w:tcPr>
          <w:p>
            <w:pPr>
              <w:spacing w:after="0"/>
              <w:jc w:val="left"/>
            </w:pPr>
            <w:r/>
            <w:r>
              <w:rPr>
                <w:rFonts w:ascii="Times New Roman" w:hAnsi="Times New Roman"/>
                <w:b w:val="0"/>
                <w:sz w:val="14"/>
              </w:rPr>
              <w:t>Veteriner Fakültesi programının genel amacı sektör ihtiyaçları ile uyumludur.</w:t>
            </w:r>
          </w:p>
        </w:tc>
        <w:tc>
          <w:tcPr>
            <w:tcW w:type="dxa" w:w="1568"/>
            <w:vAlign w:val="center"/>
          </w:tcPr>
          <w:p>
            <w:pPr>
              <w:spacing w:after="0"/>
              <w:jc w:val="center"/>
            </w:pPr>
            <w:r/>
            <w:r>
              <w:rPr>
                <w:rFonts w:ascii="Times New Roman" w:hAnsi="Times New Roman"/>
                <w:b w:val="0"/>
                <w:sz w:val="14"/>
              </w:rPr>
              <w:t>4,36</w:t>
            </w:r>
          </w:p>
        </w:tc>
        <w:tc>
          <w:tcPr>
            <w:tcW w:type="dxa" w:w="1568"/>
            <w:vAlign w:val="center"/>
          </w:tcPr>
          <w:p>
            <w:pPr>
              <w:spacing w:after="0"/>
              <w:jc w:val="center"/>
            </w:pPr>
            <w:r/>
            <w:r>
              <w:rPr>
                <w:rFonts w:ascii="Times New Roman" w:hAnsi="Times New Roman"/>
                <w:b w:val="0"/>
                <w:sz w:val="14"/>
              </w:rPr>
              <w:t>%90,9</w:t>
            </w:r>
          </w:p>
        </w:tc>
        <w:tc>
          <w:tcPr>
            <w:tcW w:type="dxa" w:w="1568"/>
            <w:vAlign w:val="center"/>
          </w:tcPr>
          <w:p>
            <w:pPr>
              <w:spacing w:after="0"/>
              <w:jc w:val="center"/>
            </w:pPr>
            <w:r/>
            <w:r>
              <w:rPr>
                <w:rFonts w:ascii="Times New Roman" w:hAnsi="Times New Roman"/>
                <w:b w:val="0"/>
                <w:sz w:val="14"/>
              </w:rPr>
              <w:t>%9,1</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2</w:t>
            </w:r>
          </w:p>
        </w:tc>
        <w:tc>
          <w:tcPr>
            <w:tcW w:type="dxa" w:w="1568"/>
            <w:vAlign w:val="center"/>
          </w:tcPr>
          <w:p>
            <w:pPr>
              <w:spacing w:after="0"/>
              <w:jc w:val="left"/>
            </w:pPr>
            <w:r/>
            <w:r>
              <w:rPr>
                <w:rFonts w:ascii="Times New Roman" w:hAnsi="Times New Roman"/>
                <w:b w:val="0"/>
                <w:sz w:val="14"/>
              </w:rPr>
              <w:t>Mezunların sahip olması gereken mesleki bilgi düzeyi yeterince tanımlanmıştır.</w:t>
            </w:r>
          </w:p>
        </w:tc>
        <w:tc>
          <w:tcPr>
            <w:tcW w:type="dxa" w:w="1568"/>
            <w:vAlign w:val="center"/>
          </w:tcPr>
          <w:p>
            <w:pPr>
              <w:spacing w:after="0"/>
              <w:jc w:val="center"/>
            </w:pPr>
            <w:r/>
            <w:r>
              <w:rPr>
                <w:rFonts w:ascii="Times New Roman" w:hAnsi="Times New Roman"/>
                <w:b w:val="0"/>
                <w:sz w:val="14"/>
              </w:rPr>
              <w:t>4,09</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3</w:t>
            </w:r>
          </w:p>
        </w:tc>
        <w:tc>
          <w:tcPr>
            <w:tcW w:type="dxa" w:w="1568"/>
            <w:vAlign w:val="center"/>
          </w:tcPr>
          <w:p>
            <w:pPr>
              <w:spacing w:after="0"/>
              <w:jc w:val="left"/>
            </w:pPr>
            <w:r/>
            <w:r>
              <w:rPr>
                <w:rFonts w:ascii="Times New Roman" w:hAnsi="Times New Roman"/>
                <w:b w:val="0"/>
                <w:sz w:val="14"/>
              </w:rPr>
              <w:t>Program mezunlara gerekli klinik ve uygulamalı becerileri kazandırmaktadır.</w:t>
            </w:r>
          </w:p>
        </w:tc>
        <w:tc>
          <w:tcPr>
            <w:tcW w:type="dxa" w:w="1568"/>
            <w:vAlign w:val="center"/>
          </w:tcPr>
          <w:p>
            <w:pPr>
              <w:spacing w:after="0"/>
              <w:jc w:val="center"/>
            </w:pPr>
            <w:r/>
            <w:r>
              <w:rPr>
                <w:rFonts w:ascii="Times New Roman" w:hAnsi="Times New Roman"/>
                <w:b w:val="0"/>
                <w:sz w:val="14"/>
              </w:rPr>
              <w:t>3,91</w:t>
            </w:r>
          </w:p>
        </w:tc>
        <w:tc>
          <w:tcPr>
            <w:tcW w:type="dxa" w:w="1568"/>
            <w:vAlign w:val="center"/>
          </w:tcPr>
          <w:p>
            <w:pPr>
              <w:spacing w:after="0"/>
              <w:jc w:val="center"/>
            </w:pPr>
            <w:r/>
            <w:r>
              <w:rPr>
                <w:rFonts w:ascii="Times New Roman" w:hAnsi="Times New Roman"/>
                <w:b w:val="0"/>
                <w:sz w:val="14"/>
              </w:rPr>
              <w:t>%54,5</w:t>
            </w:r>
          </w:p>
        </w:tc>
        <w:tc>
          <w:tcPr>
            <w:tcW w:type="dxa" w:w="1568"/>
            <w:vAlign w:val="center"/>
          </w:tcPr>
          <w:p>
            <w:pPr>
              <w:spacing w:after="0"/>
              <w:jc w:val="center"/>
            </w:pPr>
            <w:r/>
            <w:r>
              <w:rPr>
                <w:rFonts w:ascii="Times New Roman" w:hAnsi="Times New Roman"/>
                <w:b w:val="0"/>
                <w:sz w:val="14"/>
              </w:rPr>
              <w:t>%45,5</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4</w:t>
            </w:r>
          </w:p>
        </w:tc>
        <w:tc>
          <w:tcPr>
            <w:tcW w:type="dxa" w:w="1568"/>
            <w:vAlign w:val="center"/>
          </w:tcPr>
          <w:p>
            <w:pPr>
              <w:spacing w:after="0"/>
              <w:jc w:val="left"/>
            </w:pPr>
            <w:r/>
            <w:r>
              <w:rPr>
                <w:rFonts w:ascii="Times New Roman" w:hAnsi="Times New Roman"/>
                <w:b w:val="0"/>
                <w:sz w:val="14"/>
              </w:rPr>
              <w:t>Program mezunları iş hayatına hazır şekilde yetiştirmeyi amaçlamaktadır.</w:t>
            </w:r>
          </w:p>
        </w:tc>
        <w:tc>
          <w:tcPr>
            <w:tcW w:type="dxa" w:w="1568"/>
            <w:vAlign w:val="center"/>
          </w:tcPr>
          <w:p>
            <w:pPr>
              <w:spacing w:after="0"/>
              <w:jc w:val="center"/>
            </w:pPr>
            <w:r/>
            <w:r>
              <w:rPr>
                <w:rFonts w:ascii="Times New Roman" w:hAnsi="Times New Roman"/>
                <w:b w:val="0"/>
                <w:sz w:val="14"/>
              </w:rPr>
              <w:t>4,27</w:t>
            </w:r>
          </w:p>
        </w:tc>
        <w:tc>
          <w:tcPr>
            <w:tcW w:type="dxa" w:w="1568"/>
            <w:vAlign w:val="center"/>
          </w:tcPr>
          <w:p>
            <w:pPr>
              <w:spacing w:after="0"/>
              <w:jc w:val="center"/>
            </w:pPr>
            <w:r/>
            <w:r>
              <w:rPr>
                <w:rFonts w:ascii="Times New Roman" w:hAnsi="Times New Roman"/>
                <w:b w:val="0"/>
                <w:sz w:val="14"/>
              </w:rPr>
              <w:t>%90,9</w:t>
            </w:r>
          </w:p>
        </w:tc>
        <w:tc>
          <w:tcPr>
            <w:tcW w:type="dxa" w:w="1568"/>
            <w:vAlign w:val="center"/>
          </w:tcPr>
          <w:p>
            <w:pPr>
              <w:spacing w:after="0"/>
              <w:jc w:val="center"/>
            </w:pPr>
            <w:r/>
            <w:r>
              <w:rPr>
                <w:rFonts w:ascii="Times New Roman" w:hAnsi="Times New Roman"/>
                <w:b w:val="0"/>
                <w:sz w:val="14"/>
              </w:rPr>
              <w:t>%9,1</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5</w:t>
            </w:r>
          </w:p>
        </w:tc>
        <w:tc>
          <w:tcPr>
            <w:tcW w:type="dxa" w:w="1568"/>
            <w:vAlign w:val="center"/>
          </w:tcPr>
          <w:p>
            <w:pPr>
              <w:spacing w:after="0"/>
              <w:jc w:val="left"/>
            </w:pPr>
            <w:r/>
            <w:r>
              <w:rPr>
                <w:rFonts w:ascii="Times New Roman" w:hAnsi="Times New Roman"/>
                <w:b w:val="0"/>
                <w:sz w:val="14"/>
              </w:rPr>
              <w:t>Program toplumsal katkı ve hayvan sağlığı bilincini desteklemektedir.</w:t>
            </w:r>
          </w:p>
        </w:tc>
        <w:tc>
          <w:tcPr>
            <w:tcW w:type="dxa" w:w="1568"/>
            <w:vAlign w:val="center"/>
          </w:tcPr>
          <w:p>
            <w:pPr>
              <w:spacing w:after="0"/>
              <w:jc w:val="center"/>
            </w:pPr>
            <w:r/>
            <w:r>
              <w:rPr>
                <w:rFonts w:ascii="Times New Roman" w:hAnsi="Times New Roman"/>
                <w:b w:val="0"/>
                <w:sz w:val="14"/>
              </w:rPr>
              <w:t>4,36</w:t>
            </w:r>
          </w:p>
        </w:tc>
        <w:tc>
          <w:tcPr>
            <w:tcW w:type="dxa" w:w="1568"/>
            <w:vAlign w:val="center"/>
          </w:tcPr>
          <w:p>
            <w:pPr>
              <w:spacing w:after="0"/>
              <w:jc w:val="center"/>
            </w:pPr>
            <w:r/>
            <w:r>
              <w:rPr>
                <w:rFonts w:ascii="Times New Roman" w:hAnsi="Times New Roman"/>
                <w:b w:val="0"/>
                <w:sz w:val="14"/>
              </w:rPr>
              <w:t>%90,9</w:t>
            </w:r>
          </w:p>
        </w:tc>
        <w:tc>
          <w:tcPr>
            <w:tcW w:type="dxa" w:w="1568"/>
            <w:vAlign w:val="center"/>
          </w:tcPr>
          <w:p>
            <w:pPr>
              <w:spacing w:after="0"/>
              <w:jc w:val="center"/>
            </w:pPr>
            <w:r/>
            <w:r>
              <w:rPr>
                <w:rFonts w:ascii="Times New Roman" w:hAnsi="Times New Roman"/>
                <w:b w:val="0"/>
                <w:sz w:val="14"/>
              </w:rPr>
              <w:t>%9,1</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6</w:t>
            </w:r>
          </w:p>
        </w:tc>
        <w:tc>
          <w:tcPr>
            <w:tcW w:type="dxa" w:w="1568"/>
            <w:vAlign w:val="center"/>
          </w:tcPr>
          <w:p>
            <w:pPr>
              <w:spacing w:after="0"/>
              <w:jc w:val="left"/>
            </w:pPr>
            <w:r/>
            <w:r>
              <w:rPr>
                <w:rFonts w:ascii="Times New Roman" w:hAnsi="Times New Roman"/>
                <w:b w:val="0"/>
                <w:sz w:val="14"/>
              </w:rPr>
              <w:t>Mezunların problem çözme ve karar verme becerileri yeterlidir.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%36,4</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7</w:t>
            </w:r>
          </w:p>
        </w:tc>
        <w:tc>
          <w:tcPr>
            <w:tcW w:type="dxa" w:w="1568"/>
            <w:vAlign w:val="center"/>
          </w:tcPr>
          <w:p>
            <w:pPr>
              <w:spacing w:after="0"/>
              <w:jc w:val="left"/>
            </w:pPr>
            <w:r/>
            <w:r>
              <w:rPr>
                <w:rFonts w:ascii="Times New Roman" w:hAnsi="Times New Roman"/>
                <w:b w:val="0"/>
                <w:sz w:val="14"/>
              </w:rPr>
              <w:t>Mezunların ekip çalışmasına yatkın oldukları düşünülmektedir.</w:t>
            </w:r>
          </w:p>
        </w:tc>
        <w:tc>
          <w:tcPr>
            <w:tcW w:type="dxa" w:w="1568"/>
            <w:vAlign w:val="center"/>
          </w:tcPr>
          <w:p>
            <w:pPr>
              <w:spacing w:after="0"/>
              <w:jc w:val="center"/>
            </w:pPr>
            <w:r/>
            <w:r>
              <w:rPr>
                <w:rFonts w:ascii="Times New Roman" w:hAnsi="Times New Roman"/>
                <w:b w:val="0"/>
                <w:sz w:val="14"/>
              </w:rPr>
              <w:t>3,91</w:t>
            </w:r>
          </w:p>
        </w:tc>
        <w:tc>
          <w:tcPr>
            <w:tcW w:type="dxa" w:w="1568"/>
            <w:vAlign w:val="center"/>
          </w:tcPr>
          <w:p>
            <w:pPr>
              <w:spacing w:after="0"/>
              <w:jc w:val="center"/>
            </w:pPr>
            <w:r/>
            <w:r>
              <w:rPr>
                <w:rFonts w:ascii="Times New Roman" w:hAnsi="Times New Roman"/>
                <w:b w:val="0"/>
                <w:sz w:val="14"/>
              </w:rPr>
              <w:t>%54,5</w:t>
            </w:r>
          </w:p>
        </w:tc>
        <w:tc>
          <w:tcPr>
            <w:tcW w:type="dxa" w:w="1568"/>
            <w:vAlign w:val="center"/>
          </w:tcPr>
          <w:p>
            <w:pPr>
              <w:spacing w:after="0"/>
              <w:jc w:val="center"/>
            </w:pPr>
            <w:r/>
            <w:r>
              <w:rPr>
                <w:rFonts w:ascii="Times New Roman" w:hAnsi="Times New Roman"/>
                <w:b w:val="0"/>
                <w:sz w:val="14"/>
              </w:rPr>
              <w:t>%45,5</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8</w:t>
            </w:r>
          </w:p>
        </w:tc>
        <w:tc>
          <w:tcPr>
            <w:tcW w:type="dxa" w:w="1568"/>
            <w:vAlign w:val="center"/>
          </w:tcPr>
          <w:p>
            <w:pPr>
              <w:spacing w:after="0"/>
              <w:jc w:val="left"/>
            </w:pPr>
            <w:r/>
            <w:r>
              <w:rPr>
                <w:rFonts w:ascii="Times New Roman" w:hAnsi="Times New Roman"/>
                <w:b w:val="0"/>
                <w:sz w:val="14"/>
              </w:rPr>
              <w:t>Mezunların iletişim becerileri yeterlidir.</w:t>
            </w:r>
          </w:p>
        </w:tc>
        <w:tc>
          <w:tcPr>
            <w:tcW w:type="dxa" w:w="1568"/>
            <w:vAlign w:val="center"/>
          </w:tcPr>
          <w:p>
            <w:pPr>
              <w:spacing w:after="0"/>
              <w:jc w:val="center"/>
            </w:pPr>
            <w:r/>
            <w:r>
              <w:rPr>
                <w:rFonts w:ascii="Times New Roman" w:hAnsi="Times New Roman"/>
                <w:b w:val="0"/>
                <w:sz w:val="14"/>
              </w:rPr>
              <w:t>4,09</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%36,4</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9</w:t>
            </w:r>
          </w:p>
        </w:tc>
        <w:tc>
          <w:tcPr>
            <w:tcW w:type="dxa" w:w="1568"/>
            <w:vAlign w:val="center"/>
          </w:tcPr>
          <w:p>
            <w:pPr>
              <w:spacing w:after="0"/>
              <w:jc w:val="left"/>
            </w:pPr>
            <w:r/>
            <w:r>
              <w:rPr>
                <w:rFonts w:ascii="Times New Roman" w:hAnsi="Times New Roman"/>
                <w:b w:val="0"/>
                <w:sz w:val="14"/>
              </w:rPr>
              <w:t>Program teorik ve uygulamalı eğitim dengesini sağlamaktadır.</w:t>
            </w:r>
          </w:p>
        </w:tc>
        <w:tc>
          <w:tcPr>
            <w:tcW w:type="dxa" w:w="1568"/>
            <w:vAlign w:val="center"/>
          </w:tcPr>
          <w:p>
            <w:pPr>
              <w:spacing w:after="0"/>
              <w:jc w:val="center"/>
            </w:pPr>
            <w:r/>
            <w:r>
              <w:rPr>
                <w:rFonts w:ascii="Times New Roman" w:hAnsi="Times New Roman"/>
                <w:b w:val="0"/>
                <w:sz w:val="14"/>
              </w:rPr>
              <w:t>4,09</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10</w:t>
            </w:r>
          </w:p>
        </w:tc>
        <w:tc>
          <w:tcPr>
            <w:tcW w:type="dxa" w:w="1568"/>
            <w:vAlign w:val="center"/>
          </w:tcPr>
          <w:p>
            <w:pPr>
              <w:spacing w:after="0"/>
              <w:jc w:val="left"/>
            </w:pPr>
            <w:r/>
            <w:r>
              <w:rPr>
                <w:rFonts w:ascii="Times New Roman" w:hAnsi="Times New Roman"/>
                <w:b w:val="0"/>
                <w:sz w:val="14"/>
              </w:rPr>
              <w:t>Program disiplinler arası çalışmayı desteklemektedir.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11</w:t>
            </w:r>
          </w:p>
        </w:tc>
        <w:tc>
          <w:tcPr>
            <w:tcW w:type="dxa" w:w="1568"/>
            <w:vAlign w:val="center"/>
          </w:tcPr>
          <w:p>
            <w:pPr>
              <w:spacing w:after="0"/>
              <w:jc w:val="left"/>
            </w:pPr>
            <w:r/>
            <w:r>
              <w:rPr>
                <w:rFonts w:ascii="Times New Roman" w:hAnsi="Times New Roman"/>
                <w:b w:val="0"/>
                <w:sz w:val="14"/>
              </w:rPr>
              <w:t>Teknolojik gelişmeler ve yenilikçi uygulamalar programa yansıtılmaktadır.</w:t>
            </w:r>
          </w:p>
        </w:tc>
        <w:tc>
          <w:tcPr>
            <w:tcW w:type="dxa" w:w="1568"/>
            <w:vAlign w:val="center"/>
          </w:tcPr>
          <w:p>
            <w:pPr>
              <w:spacing w:after="0"/>
              <w:jc w:val="center"/>
            </w:pPr>
            <w:r/>
            <w:r>
              <w:rPr>
                <w:rFonts w:ascii="Times New Roman" w:hAnsi="Times New Roman"/>
                <w:b w:val="0"/>
                <w:sz w:val="14"/>
              </w:rPr>
              <w:t>3,73</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%9,1</w:t>
            </w:r>
          </w:p>
        </w:tc>
      </w:tr>
      <w:tr>
        <w:tc>
          <w:tcPr>
            <w:tcW w:type="dxa" w:w="1568"/>
            <w:vAlign w:val="center"/>
          </w:tcPr>
          <w:p>
            <w:pPr>
              <w:spacing w:after="0"/>
              <w:jc w:val="center"/>
            </w:pPr>
            <w:r/>
            <w:r>
              <w:rPr>
                <w:rFonts w:ascii="Times New Roman" w:hAnsi="Times New Roman"/>
                <w:b w:val="0"/>
                <w:sz w:val="14"/>
              </w:rPr>
              <w:t>12</w:t>
            </w:r>
          </w:p>
        </w:tc>
        <w:tc>
          <w:tcPr>
            <w:tcW w:type="dxa" w:w="1568"/>
            <w:vAlign w:val="center"/>
          </w:tcPr>
          <w:p>
            <w:pPr>
              <w:spacing w:after="0"/>
              <w:jc w:val="left"/>
            </w:pPr>
            <w:r/>
            <w:r>
              <w:rPr>
                <w:rFonts w:ascii="Times New Roman" w:hAnsi="Times New Roman"/>
                <w:b w:val="0"/>
                <w:sz w:val="14"/>
              </w:rPr>
              <w:t>Teknolojik gelişmeler ve yenilikçi uygulamalar programa yansıtılmaktadır. 2</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13</w:t>
            </w:r>
          </w:p>
        </w:tc>
        <w:tc>
          <w:tcPr>
            <w:tcW w:type="dxa" w:w="1568"/>
            <w:vAlign w:val="center"/>
          </w:tcPr>
          <w:p>
            <w:pPr>
              <w:spacing w:after="0"/>
              <w:jc w:val="left"/>
            </w:pPr>
            <w:r/>
            <w:r>
              <w:rPr>
                <w:rFonts w:ascii="Times New Roman" w:hAnsi="Times New Roman"/>
                <w:b w:val="0"/>
                <w:sz w:val="14"/>
              </w:rPr>
              <w:t>Ders içerikleri güncel bilimsel ve teknolojik gelişmelere uygundur.</w:t>
            </w:r>
          </w:p>
        </w:tc>
        <w:tc>
          <w:tcPr>
            <w:tcW w:type="dxa" w:w="1568"/>
            <w:vAlign w:val="center"/>
          </w:tcPr>
          <w:p>
            <w:pPr>
              <w:spacing w:after="0"/>
              <w:jc w:val="center"/>
            </w:pPr>
            <w:r/>
            <w:r>
              <w:rPr>
                <w:rFonts w:ascii="Times New Roman" w:hAnsi="Times New Roman"/>
                <w:b w:val="0"/>
                <w:sz w:val="14"/>
              </w:rPr>
              <w:t>3,91</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%36,4</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14</w:t>
            </w:r>
          </w:p>
        </w:tc>
        <w:tc>
          <w:tcPr>
            <w:tcW w:type="dxa" w:w="1568"/>
            <w:vAlign w:val="center"/>
          </w:tcPr>
          <w:p>
            <w:pPr>
              <w:spacing w:after="0"/>
              <w:jc w:val="left"/>
            </w:pPr>
            <w:r/>
            <w:r>
              <w:rPr>
                <w:rFonts w:ascii="Times New Roman" w:hAnsi="Times New Roman"/>
                <w:b w:val="0"/>
                <w:sz w:val="14"/>
              </w:rPr>
              <w:t>Dersler sektör ihtiyaçlarını karşılayacak şekilde planlanmıştır.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%36,4</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15</w:t>
            </w:r>
          </w:p>
        </w:tc>
        <w:tc>
          <w:tcPr>
            <w:tcW w:type="dxa" w:w="1568"/>
            <w:vAlign w:val="center"/>
          </w:tcPr>
          <w:p>
            <w:pPr>
              <w:spacing w:after="0"/>
              <w:jc w:val="left"/>
            </w:pPr>
            <w:r/>
            <w:r>
              <w:rPr>
                <w:rFonts w:ascii="Times New Roman" w:hAnsi="Times New Roman"/>
                <w:b w:val="0"/>
                <w:sz w:val="14"/>
              </w:rPr>
              <w:t>Uygulama ve staj olanakları yeterlidir.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16</w:t>
            </w:r>
          </w:p>
        </w:tc>
        <w:tc>
          <w:tcPr>
            <w:tcW w:type="dxa" w:w="1568"/>
            <w:vAlign w:val="center"/>
          </w:tcPr>
          <w:p>
            <w:pPr>
              <w:spacing w:after="0"/>
              <w:jc w:val="left"/>
            </w:pPr>
            <w:r/>
            <w:r>
              <w:rPr>
                <w:rFonts w:ascii="Times New Roman" w:hAnsi="Times New Roman"/>
                <w:b w:val="0"/>
                <w:sz w:val="14"/>
              </w:rPr>
              <w:t>Ders içerikleri mesleki yetkinlik kazandırmaktadır.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17</w:t>
            </w:r>
          </w:p>
        </w:tc>
        <w:tc>
          <w:tcPr>
            <w:tcW w:type="dxa" w:w="1568"/>
            <w:vAlign w:val="center"/>
          </w:tcPr>
          <w:p>
            <w:pPr>
              <w:spacing w:after="0"/>
              <w:jc w:val="left"/>
            </w:pPr>
            <w:r/>
            <w:r>
              <w:rPr>
                <w:rFonts w:ascii="Times New Roman" w:hAnsi="Times New Roman"/>
                <w:b w:val="0"/>
                <w:sz w:val="14"/>
              </w:rPr>
              <w:t>Seçmeli ders çeşitliliği yeterlidir.</w:t>
            </w:r>
          </w:p>
        </w:tc>
        <w:tc>
          <w:tcPr>
            <w:tcW w:type="dxa" w:w="1568"/>
            <w:vAlign w:val="center"/>
          </w:tcPr>
          <w:p>
            <w:pPr>
              <w:spacing w:after="0"/>
              <w:jc w:val="center"/>
            </w:pPr>
            <w:r/>
            <w:r>
              <w:rPr>
                <w:rFonts w:ascii="Times New Roman" w:hAnsi="Times New Roman"/>
                <w:b w:val="0"/>
                <w:sz w:val="14"/>
              </w:rPr>
              <w:t>3,91</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%9,1</w:t>
            </w:r>
          </w:p>
        </w:tc>
      </w:tr>
      <w:tr>
        <w:tc>
          <w:tcPr>
            <w:tcW w:type="dxa" w:w="1568"/>
            <w:vAlign w:val="center"/>
          </w:tcPr>
          <w:p>
            <w:pPr>
              <w:spacing w:after="0"/>
              <w:jc w:val="center"/>
            </w:pPr>
            <w:r/>
            <w:r>
              <w:rPr>
                <w:rFonts w:ascii="Times New Roman" w:hAnsi="Times New Roman"/>
                <w:b w:val="0"/>
                <w:sz w:val="14"/>
              </w:rPr>
              <w:t>18</w:t>
            </w:r>
          </w:p>
        </w:tc>
        <w:tc>
          <w:tcPr>
            <w:tcW w:type="dxa" w:w="1568"/>
            <w:vAlign w:val="center"/>
          </w:tcPr>
          <w:p>
            <w:pPr>
              <w:spacing w:after="0"/>
              <w:jc w:val="left"/>
            </w:pPr>
            <w:r/>
            <w:r>
              <w:rPr>
                <w:rFonts w:ascii="Times New Roman" w:hAnsi="Times New Roman"/>
                <w:b w:val="0"/>
                <w:sz w:val="14"/>
              </w:rPr>
              <w:t>Program sektör temsilcilerinin görüşleri dikkate alınarak geliştirilmektedir.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%9,1</w:t>
            </w:r>
          </w:p>
        </w:tc>
      </w:tr>
      <w:tr>
        <w:tc>
          <w:tcPr>
            <w:tcW w:type="dxa" w:w="1568"/>
            <w:vAlign w:val="center"/>
          </w:tcPr>
          <w:p>
            <w:pPr>
              <w:spacing w:after="0"/>
              <w:jc w:val="center"/>
            </w:pPr>
            <w:r/>
            <w:r>
              <w:rPr>
                <w:rFonts w:ascii="Times New Roman" w:hAnsi="Times New Roman"/>
                <w:b w:val="0"/>
                <w:sz w:val="14"/>
              </w:rPr>
              <w:t>19</w:t>
            </w:r>
          </w:p>
        </w:tc>
        <w:tc>
          <w:tcPr>
            <w:tcW w:type="dxa" w:w="1568"/>
            <w:vAlign w:val="center"/>
          </w:tcPr>
          <w:p>
            <w:pPr>
              <w:spacing w:after="0"/>
              <w:jc w:val="left"/>
            </w:pPr>
            <w:r/>
            <w:r>
              <w:rPr>
                <w:rFonts w:ascii="Times New Roman" w:hAnsi="Times New Roman"/>
                <w:b w:val="0"/>
                <w:sz w:val="14"/>
              </w:rPr>
              <w:t>Mezunlar sektör beklentilerini karşılayabilecek yeterliliğe sahiptir.</w:t>
            </w:r>
          </w:p>
        </w:tc>
        <w:tc>
          <w:tcPr>
            <w:tcW w:type="dxa" w:w="1568"/>
            <w:vAlign w:val="center"/>
          </w:tcPr>
          <w:p>
            <w:pPr>
              <w:spacing w:after="0"/>
              <w:jc w:val="center"/>
            </w:pPr>
            <w:r/>
            <w:r>
              <w:rPr>
                <w:rFonts w:ascii="Times New Roman" w:hAnsi="Times New Roman"/>
                <w:b w:val="0"/>
                <w:sz w:val="14"/>
              </w:rPr>
              <w:t>3,91</w:t>
            </w:r>
          </w:p>
        </w:tc>
        <w:tc>
          <w:tcPr>
            <w:tcW w:type="dxa" w:w="1568"/>
            <w:vAlign w:val="center"/>
          </w:tcPr>
          <w:p>
            <w:pPr>
              <w:spacing w:after="0"/>
              <w:jc w:val="center"/>
            </w:pPr>
            <w:r/>
            <w:r>
              <w:rPr>
                <w:rFonts w:ascii="Times New Roman" w:hAnsi="Times New Roman"/>
                <w:b w:val="0"/>
                <w:sz w:val="14"/>
              </w:rPr>
              <w:t>%54,5</w:t>
            </w:r>
          </w:p>
        </w:tc>
        <w:tc>
          <w:tcPr>
            <w:tcW w:type="dxa" w:w="1568"/>
            <w:vAlign w:val="center"/>
          </w:tcPr>
          <w:p>
            <w:pPr>
              <w:spacing w:after="0"/>
              <w:jc w:val="center"/>
            </w:pPr>
            <w:r/>
            <w:r>
              <w:rPr>
                <w:rFonts w:ascii="Times New Roman" w:hAnsi="Times New Roman"/>
                <w:b w:val="0"/>
                <w:sz w:val="14"/>
              </w:rPr>
              <w:t>%45,5</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20</w:t>
            </w:r>
          </w:p>
        </w:tc>
        <w:tc>
          <w:tcPr>
            <w:tcW w:type="dxa" w:w="1568"/>
            <w:vAlign w:val="center"/>
          </w:tcPr>
          <w:p>
            <w:pPr>
              <w:spacing w:after="0"/>
              <w:jc w:val="left"/>
            </w:pPr>
            <w:r/>
            <w:r>
              <w:rPr>
                <w:rFonts w:ascii="Times New Roman" w:hAnsi="Times New Roman"/>
                <w:b w:val="0"/>
                <w:sz w:val="14"/>
              </w:rPr>
              <w:t>Dış paydaş görüşleri iyileştirme süreçlerine yansıtılmaktadır.</w:t>
            </w:r>
          </w:p>
        </w:tc>
        <w:tc>
          <w:tcPr>
            <w:tcW w:type="dxa" w:w="1568"/>
            <w:vAlign w:val="center"/>
          </w:tcPr>
          <w:p>
            <w:pPr>
              <w:spacing w:after="0"/>
              <w:jc w:val="center"/>
            </w:pPr>
            <w:r/>
            <w:r>
              <w:rPr>
                <w:rFonts w:ascii="Times New Roman" w:hAnsi="Times New Roman"/>
                <w:b w:val="0"/>
                <w:sz w:val="14"/>
              </w:rPr>
              <w:t>4,09</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21</w:t>
            </w:r>
          </w:p>
        </w:tc>
        <w:tc>
          <w:tcPr>
            <w:tcW w:type="dxa" w:w="1568"/>
            <w:vAlign w:val="center"/>
          </w:tcPr>
          <w:p>
            <w:pPr>
              <w:spacing w:after="0"/>
              <w:jc w:val="left"/>
            </w:pPr>
            <w:r/>
            <w:r>
              <w:rPr>
                <w:rFonts w:ascii="Times New Roman" w:hAnsi="Times New Roman"/>
                <w:b w:val="0"/>
                <w:sz w:val="14"/>
              </w:rPr>
              <w:t>Fakülte sektör ile iş birliği içerisinde çalışmaktadır.</w:t>
            </w:r>
          </w:p>
        </w:tc>
        <w:tc>
          <w:tcPr>
            <w:tcW w:type="dxa" w:w="1568"/>
            <w:vAlign w:val="center"/>
          </w:tcPr>
          <w:p>
            <w:pPr>
              <w:spacing w:after="0"/>
              <w:jc w:val="center"/>
            </w:pPr>
            <w:r/>
            <w:r>
              <w:rPr>
                <w:rFonts w:ascii="Times New Roman" w:hAnsi="Times New Roman"/>
                <w:b w:val="0"/>
                <w:sz w:val="14"/>
              </w:rPr>
              <w:t>4,00</w:t>
            </w:r>
          </w:p>
        </w:tc>
        <w:tc>
          <w:tcPr>
            <w:tcW w:type="dxa" w:w="1568"/>
            <w:vAlign w:val="center"/>
          </w:tcPr>
          <w:p>
            <w:pPr>
              <w:spacing w:after="0"/>
              <w:jc w:val="center"/>
            </w:pPr>
            <w:r/>
            <w:r>
              <w:rPr>
                <w:rFonts w:ascii="Times New Roman" w:hAnsi="Times New Roman"/>
                <w:b w:val="0"/>
                <w:sz w:val="14"/>
              </w:rPr>
              <w:t>%63,6</w:t>
            </w:r>
          </w:p>
        </w:tc>
        <w:tc>
          <w:tcPr>
            <w:tcW w:type="dxa" w:w="1568"/>
            <w:vAlign w:val="center"/>
          </w:tcPr>
          <w:p>
            <w:pPr>
              <w:spacing w:after="0"/>
              <w:jc w:val="center"/>
            </w:pPr>
            <w:r/>
            <w:r>
              <w:rPr>
                <w:rFonts w:ascii="Times New Roman" w:hAnsi="Times New Roman"/>
                <w:b w:val="0"/>
                <w:sz w:val="14"/>
              </w:rPr>
              <w:t>%36,4</w:t>
            </w:r>
          </w:p>
        </w:tc>
        <w:tc>
          <w:tcPr>
            <w:tcW w:type="dxa" w:w="1568"/>
            <w:vAlign w:val="center"/>
          </w:tcPr>
          <w:p>
            <w:pPr>
              <w:spacing w:after="0"/>
              <w:jc w:val="center"/>
            </w:pPr>
            <w:r/>
            <w:r>
              <w:rPr>
                <w:rFonts w:ascii="Times New Roman" w:hAnsi="Times New Roman"/>
                <w:b w:val="0"/>
                <w:sz w:val="14"/>
              </w:rPr>
              <w:t>%0,0</w:t>
            </w:r>
          </w:p>
        </w:tc>
      </w:tr>
      <w:tr>
        <w:tc>
          <w:tcPr>
            <w:tcW w:type="dxa" w:w="1568"/>
            <w:vAlign w:val="center"/>
          </w:tcPr>
          <w:p>
            <w:pPr>
              <w:spacing w:after="0"/>
              <w:jc w:val="center"/>
            </w:pPr>
            <w:r/>
            <w:r>
              <w:rPr>
                <w:rFonts w:ascii="Times New Roman" w:hAnsi="Times New Roman"/>
                <w:b w:val="0"/>
                <w:sz w:val="14"/>
              </w:rPr>
              <w:t>22</w:t>
            </w:r>
          </w:p>
        </w:tc>
        <w:tc>
          <w:tcPr>
            <w:tcW w:type="dxa" w:w="1568"/>
            <w:vAlign w:val="center"/>
          </w:tcPr>
          <w:p>
            <w:pPr>
              <w:spacing w:after="0"/>
              <w:jc w:val="left"/>
            </w:pPr>
            <w:r/>
            <w:r>
              <w:rPr>
                <w:rFonts w:ascii="Times New Roman" w:hAnsi="Times New Roman"/>
                <w:b w:val="0"/>
                <w:sz w:val="14"/>
              </w:rPr>
              <w:t>Program genel olarak yeterli düzeydedir.</w:t>
            </w:r>
          </w:p>
        </w:tc>
        <w:tc>
          <w:tcPr>
            <w:tcW w:type="dxa" w:w="1568"/>
            <w:vAlign w:val="center"/>
          </w:tcPr>
          <w:p>
            <w:pPr>
              <w:spacing w:after="0"/>
              <w:jc w:val="center"/>
            </w:pPr>
            <w:r/>
            <w:r>
              <w:rPr>
                <w:rFonts w:ascii="Times New Roman" w:hAnsi="Times New Roman"/>
                <w:b w:val="0"/>
                <w:sz w:val="14"/>
              </w:rPr>
              <w:t>4,09</w:t>
            </w:r>
          </w:p>
        </w:tc>
        <w:tc>
          <w:tcPr>
            <w:tcW w:type="dxa" w:w="1568"/>
            <w:vAlign w:val="center"/>
          </w:tcPr>
          <w:p>
            <w:pPr>
              <w:spacing w:after="0"/>
              <w:jc w:val="center"/>
            </w:pPr>
            <w:r/>
            <w:r>
              <w:rPr>
                <w:rFonts w:ascii="Times New Roman" w:hAnsi="Times New Roman"/>
                <w:b w:val="0"/>
                <w:sz w:val="14"/>
              </w:rPr>
              <w:t>%72,7</w:t>
            </w:r>
          </w:p>
        </w:tc>
        <w:tc>
          <w:tcPr>
            <w:tcW w:type="dxa" w:w="1568"/>
            <w:vAlign w:val="center"/>
          </w:tcPr>
          <w:p>
            <w:pPr>
              <w:spacing w:after="0"/>
              <w:jc w:val="center"/>
            </w:pPr>
            <w:r/>
            <w:r>
              <w:rPr>
                <w:rFonts w:ascii="Times New Roman" w:hAnsi="Times New Roman"/>
                <w:b w:val="0"/>
                <w:sz w:val="14"/>
              </w:rPr>
              <w:t>%27,3</w:t>
            </w:r>
          </w:p>
        </w:tc>
        <w:tc>
          <w:tcPr>
            <w:tcW w:type="dxa" w:w="1568"/>
            <w:vAlign w:val="center"/>
          </w:tcPr>
          <w:p>
            <w:pPr>
              <w:spacing w:after="0"/>
              <w:jc w:val="center"/>
            </w:pPr>
            <w:r/>
            <w:r>
              <w:rPr>
                <w:rFonts w:ascii="Times New Roman" w:hAnsi="Times New Roman"/>
                <w:b w:val="0"/>
                <w:sz w:val="14"/>
              </w:rPr>
              <w:t>%0,0</w:t>
            </w:r>
          </w:p>
        </w:tc>
      </w:tr>
    </w:tbl>
    <w:sectPr w:rsidR="00FC693F" w:rsidRPr="0006063C" w:rsidSect="00034616">
      <w:footerReference w:type="default" r:id="rId38"/>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8"/>
      </w:rPr>
      <w:t>Dış Paydaş Program Değerlendirme Anketi Ayrıntılı Değerlendirme Raporu</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