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Times New Roman" w:hAnsi="Times New Roman" w:eastAsia="Times New Roman"/>
          <w:b/>
          <w:sz w:val="28"/>
        </w:rPr>
        <w:t>T.C.</w:t>
      </w:r>
    </w:p>
    <w:p>
      <w:pPr>
        <w:jc w:val="center"/>
      </w:pPr>
      <w:r>
        <w:rPr>
          <w:rFonts w:ascii="Times New Roman" w:hAnsi="Times New Roman" w:eastAsia="Times New Roman"/>
          <w:b/>
          <w:sz w:val="28"/>
        </w:rPr>
        <w:t>SİİRT ÜNİVERSİTESİ</w:t>
      </w:r>
    </w:p>
    <w:p>
      <w:pPr>
        <w:jc w:val="center"/>
      </w:pPr>
      <w:r>
        <w:rPr>
          <w:rFonts w:ascii="Times New Roman" w:hAnsi="Times New Roman" w:eastAsia="Times New Roman"/>
          <w:b/>
          <w:sz w:val="28"/>
        </w:rPr>
        <w:t>VETERİNER FAKÜLTESİ</w:t>
      </w:r>
    </w:p>
    <w:p/>
    <w:p>
      <w:pPr>
        <w:jc w:val="center"/>
      </w:pPr>
      <w:r>
        <w:rPr>
          <w:rFonts w:ascii="Times New Roman" w:hAnsi="Times New Roman" w:eastAsia="Times New Roman"/>
          <w:b/>
          <w:sz w:val="32"/>
        </w:rPr>
        <w:t>ÖĞRETİM ELEMANI / AKADEMİK DANIŞMANLIK</w:t>
      </w:r>
    </w:p>
    <w:p>
      <w:pPr>
        <w:jc w:val="center"/>
      </w:pPr>
      <w:r>
        <w:rPr>
          <w:rFonts w:ascii="Times New Roman" w:hAnsi="Times New Roman" w:eastAsia="Times New Roman"/>
          <w:b/>
          <w:sz w:val="32"/>
        </w:rPr>
        <w:t>DEĞERLENDİRME ANKETİ</w:t>
      </w:r>
    </w:p>
    <w:p>
      <w:pPr>
        <w:jc w:val="center"/>
      </w:pPr>
      <w:r>
        <w:rPr>
          <w:rFonts w:ascii="Times New Roman" w:hAnsi="Times New Roman" w:eastAsia="Times New Roman"/>
          <w:b/>
          <w:sz w:val="32"/>
        </w:rPr>
        <w:t>AYRINTILI DEĞERLENDİRME RAPORU</w:t>
      </w:r>
    </w:p>
    <w:p>
      <w:r>
        <w:br/>
        <w:br/>
      </w:r>
    </w:p>
    <w:p>
      <w:pPr>
        <w:jc w:val="center"/>
      </w:pPr>
      <w:r>
        <w:rPr>
          <w:rFonts w:ascii="Times New Roman" w:hAnsi="Times New Roman" w:eastAsia="Times New Roman"/>
          <w:b/>
          <w:sz w:val="24"/>
        </w:rPr>
        <w:t>Haziran 2026</w:t>
      </w:r>
    </w:p>
    <w:p>
      <w:r>
        <w:br w:type="page"/>
      </w:r>
    </w:p>
    <w:p>
      <w:pPr>
        <w:pStyle w:val="Heading1"/>
      </w:pPr>
      <w:r>
        <w:t>İçindekiler</w:t>
      </w:r>
    </w:p>
    <w:p>
      <w:r>
        <w:rPr>
          <w:rFonts w:ascii="Times New Roman" w:hAnsi="Times New Roman" w:eastAsia="Times New Roman"/>
          <w:b w:val="0"/>
          <w:i w:val="0"/>
          <w:sz w:val="21"/>
        </w:rPr>
        <w:t>1. Giriş</w:t>
      </w:r>
    </w:p>
    <w:p>
      <w:r>
        <w:rPr>
          <w:rFonts w:ascii="Times New Roman" w:hAnsi="Times New Roman" w:eastAsia="Times New Roman"/>
          <w:b w:val="0"/>
          <w:i w:val="0"/>
          <w:sz w:val="21"/>
        </w:rPr>
        <w:t>2. Değerlendirme Yöntemi</w:t>
      </w:r>
    </w:p>
    <w:p>
      <w:r>
        <w:rPr>
          <w:rFonts w:ascii="Times New Roman" w:hAnsi="Times New Roman" w:eastAsia="Times New Roman"/>
          <w:b w:val="0"/>
          <w:i w:val="0"/>
          <w:sz w:val="21"/>
        </w:rPr>
        <w:t>3. Verilerin Analizi</w:t>
      </w:r>
    </w:p>
    <w:p>
      <w:r>
        <w:rPr>
          <w:rFonts w:ascii="Times New Roman" w:hAnsi="Times New Roman" w:eastAsia="Times New Roman"/>
          <w:b w:val="0"/>
          <w:i w:val="0"/>
          <w:sz w:val="21"/>
        </w:rPr>
        <w:t>4. Katılımcı Dağılımının Değerlendirilmesi</w:t>
      </w:r>
    </w:p>
    <w:p>
      <w:r>
        <w:rPr>
          <w:rFonts w:ascii="Times New Roman" w:hAnsi="Times New Roman" w:eastAsia="Times New Roman"/>
          <w:b w:val="0"/>
          <w:i w:val="0"/>
          <w:sz w:val="21"/>
        </w:rPr>
        <w:t>5. Öğretim Elemanı / Akademik Danışmanlık Değerlendirme Bulguları</w:t>
      </w:r>
    </w:p>
    <w:p>
      <w:r>
        <w:rPr>
          <w:rFonts w:ascii="Times New Roman" w:hAnsi="Times New Roman" w:eastAsia="Times New Roman"/>
          <w:b w:val="0"/>
          <w:i w:val="0"/>
          <w:sz w:val="21"/>
        </w:rPr>
        <w:t>5.1. Genel Yanıt Eğilimi</w:t>
      </w:r>
    </w:p>
    <w:p>
      <w:r>
        <w:rPr>
          <w:rFonts w:ascii="Times New Roman" w:hAnsi="Times New Roman" w:eastAsia="Times New Roman"/>
          <w:b w:val="0"/>
          <w:i w:val="0"/>
          <w:sz w:val="21"/>
        </w:rPr>
        <w:t>5.2. Boyut Bazında Genel Eğilim</w:t>
      </w:r>
    </w:p>
    <w:p>
      <w:r>
        <w:rPr>
          <w:rFonts w:ascii="Times New Roman" w:hAnsi="Times New Roman" w:eastAsia="Times New Roman"/>
          <w:b w:val="0"/>
          <w:i w:val="0"/>
          <w:sz w:val="21"/>
        </w:rPr>
        <w:t>5.3. Güçlü Yönler ve Geliştirilmeye Açık Alanlar</w:t>
      </w:r>
    </w:p>
    <w:p>
      <w:r>
        <w:rPr>
          <w:rFonts w:ascii="Times New Roman" w:hAnsi="Times New Roman" w:eastAsia="Times New Roman"/>
          <w:b w:val="0"/>
          <w:i w:val="0"/>
          <w:sz w:val="21"/>
        </w:rPr>
        <w:t>5.4. Madde Bazında Ayrıntılı Bulgular</w:t>
      </w:r>
    </w:p>
    <w:p>
      <w:r>
        <w:rPr>
          <w:rFonts w:ascii="Times New Roman" w:hAnsi="Times New Roman" w:eastAsia="Times New Roman"/>
          <w:b w:val="0"/>
          <w:i w:val="0"/>
          <w:sz w:val="21"/>
        </w:rPr>
        <w:t>5.5. Açık Uçlu Görüş ve Önerilere İlişkin Bulgular</w:t>
      </w:r>
    </w:p>
    <w:p>
      <w:r>
        <w:rPr>
          <w:rFonts w:ascii="Times New Roman" w:hAnsi="Times New Roman" w:eastAsia="Times New Roman"/>
          <w:b w:val="0"/>
          <w:i w:val="0"/>
          <w:sz w:val="21"/>
        </w:rPr>
        <w:t>6. Dikkat Kontrol Maddesine İlişkin Veri Kalitesi Değerlendirmesi</w:t>
      </w:r>
    </w:p>
    <w:p>
      <w:r>
        <w:rPr>
          <w:rFonts w:ascii="Times New Roman" w:hAnsi="Times New Roman" w:eastAsia="Times New Roman"/>
          <w:b w:val="0"/>
          <w:i w:val="0"/>
          <w:sz w:val="21"/>
        </w:rPr>
        <w:t>7. Genel Değerlendirme</w:t>
      </w:r>
    </w:p>
    <w:p>
      <w:r>
        <w:rPr>
          <w:rFonts w:ascii="Times New Roman" w:hAnsi="Times New Roman" w:eastAsia="Times New Roman"/>
          <w:b w:val="0"/>
          <w:i w:val="0"/>
          <w:sz w:val="21"/>
        </w:rPr>
        <w:t>8. Ekler</w:t>
      </w:r>
    </w:p>
    <w:p>
      <w:r>
        <w:br w:type="page"/>
      </w:r>
    </w:p>
    <w:p>
      <w:pPr>
        <w:pStyle w:val="Heading1"/>
      </w:pPr>
      <w:r>
        <w:t>1. Giriş</w:t>
      </w:r>
    </w:p>
    <w:p>
      <w:r>
        <w:rPr>
          <w:rFonts w:ascii="Times New Roman" w:hAnsi="Times New Roman" w:eastAsia="Times New Roman"/>
          <w:b w:val="0"/>
          <w:i w:val="0"/>
          <w:sz w:val="21"/>
        </w:rPr>
        <w:t>Öğretim elemanı / akademik danışmanlık değerlendirme anketi, öğrencilerin akademik danışmanlık hizmetlerine ilişkin memnuniyet düzeylerini, danışmanların ulaşılabilirliğini, iletişim biçimini, akademik yönlendirme düzeyini, mesleki gelişime katkısını, öğrenciye yaklaşımını ve genel danışmanlık hizmeti algısını belirlemek amacıyla uygulanmıştır.</w:t>
      </w:r>
    </w:p>
    <w:p>
      <w:r>
        <w:rPr>
          <w:rFonts w:ascii="Times New Roman" w:hAnsi="Times New Roman" w:eastAsia="Times New Roman"/>
          <w:b w:val="0"/>
          <w:i w:val="0"/>
          <w:sz w:val="21"/>
        </w:rPr>
        <w:t>Bu raporda her bir öğretim elemanı veya akademik danışman ayrı ayrı değerlendirilmemiş; veriler bütüncül olarak ele alınarak fakülte düzeyinde genel eğilimler ortaya konulmuştur. Elde edilen bulgular, akademik danışmanlık sisteminin güçlü yönlerini ve geliştirilmesi gereken alanlarını belirlemek, öğrencilerin beklentilerini görünür hale getirmek ve kalite güvencesi kapsamında sürekli iyileştirme çalışmalarına veri sağlamak amacıyla değerlendirilmiştir.</w:t>
      </w:r>
    </w:p>
    <w:p>
      <w:pPr>
        <w:pStyle w:val="Heading1"/>
      </w:pPr>
      <w:r>
        <w:t>2. Değerlendirme Yöntemi</w:t>
      </w:r>
    </w:p>
    <w:p>
      <w:r>
        <w:rPr>
          <w:rFonts w:ascii="Times New Roman" w:hAnsi="Times New Roman" w:eastAsia="Times New Roman"/>
          <w:b w:val="0"/>
          <w:i w:val="0"/>
          <w:sz w:val="21"/>
        </w:rPr>
        <w:t>Anket, 5'li Likert ölçeği kullanılarak uygulanmıştır. Ölçekte 1 = Kesinlikle Katılmıyorum, 2 = Katılmıyorum, 3 = Kararsızım, 4 = Katılıyorum ve 5 = Kesinlikle Katılıyorum seçenekleri yer almaktadır.</w:t>
      </w:r>
    </w:p>
    <w:p>
      <w:r>
        <w:rPr>
          <w:rFonts w:ascii="Times New Roman" w:hAnsi="Times New Roman" w:eastAsia="Times New Roman"/>
          <w:b w:val="0"/>
          <w:i w:val="0"/>
          <w:sz w:val="21"/>
        </w:rPr>
        <w:t>Değerlendirme sürecinde 'Katılıyorum' ve 'Kesinlikle Katılıyorum' seçenekleri olumlu görüş; 'Kararsızım' seçeneği kararsız görüş; 'Katılmıyorum' ve 'Kesinlikle Katılmıyorum' seçenekleri ise olumsuz görüş olarak kabul edilmiştir.</w:t>
      </w:r>
    </w:p>
    <w:p>
      <w:r>
        <w:rPr>
          <w:rFonts w:ascii="Times New Roman" w:hAnsi="Times New Roman" w:eastAsia="Times New Roman"/>
          <w:b w:val="0"/>
          <w:i w:val="0"/>
          <w:sz w:val="21"/>
        </w:rPr>
        <w:t>Veri setinde zaman damgası, sınıf bilgisi, 17 adet değerlendirme maddesi, 1 adet dikkat kontrol maddesi ve açık uçlu görüş alanı yer almaktadır. Dikkat kontrol maddesi danışmanlık hizmetinin niteliğini ölçmediği için genel ortalama ve madde ortalaması hesaplamalarına dahil edilmemiştir. Açık uçlu yanıtlar içerik analizi yaklaşımıyla tematik olarak gruplandırılmıştır.</w:t>
      </w:r>
    </w:p>
    <w:p>
      <w:pPr>
        <w:pStyle w:val="Heading1"/>
      </w:pPr>
      <w:r>
        <w:t>3. Verilerin Analizi</w:t>
      </w:r>
    </w:p>
    <w:p>
      <w:r>
        <w:rPr>
          <w:rFonts w:ascii="Times New Roman" w:hAnsi="Times New Roman" w:eastAsia="Times New Roman"/>
          <w:b w:val="0"/>
          <w:i w:val="0"/>
          <w:sz w:val="21"/>
        </w:rPr>
        <w:t>Ankete toplam 113 öğrenci katılmıştır. Değerlendirme kapsamına alınan 17 Likert maddesi üzerinden toplam 1921 yanıt analiz edilmiştir. Her bir madde için frekans, yüzde, ortalama puan, olumlu görüş oranı, kararsız görüş oranı ve olumsuz görüş oranı hesaplanmıştır.</w:t>
      </w:r>
    </w:p>
    <w:p>
      <w:r>
        <w:rPr>
          <w:rFonts w:ascii="Times New Roman" w:hAnsi="Times New Roman" w:eastAsia="Times New Roman"/>
          <w:b w:val="0"/>
          <w:i w:val="0"/>
          <w:sz w:val="21"/>
        </w:rPr>
        <w:t>Tüm maddeler birlikte değerlendirildiğinde genel ortalama puan 3,56/5,00 olarak hesaplanmıştır. Genel olumlu görüş oranı %59,8, kararsız görüş oranı %11,7 ve olumsuz görüş oranı %28,5 düzeyindedir. Bu bulgular, akademik danışmanlık hizmetlerine ilişkin öğrenci algısının genel olarak olumlu eğilim gösterdiğini; ancak özellikle mesleki gelişim, staj/uygulama fırsatları ve etkinlik bilgilendirmesi gibi alanlarda iyileştirme ihtiyacının sürdüğünü göstermektedir.</w:t>
      </w:r>
    </w:p>
    <w:tbl>
      <w:tblPr>
        <w:tblStyle w:val="TableGrid"/>
        <w:tblW w:type="auto" w:w="0"/>
        <w:jc w:val="center"/>
        <w:tblLook w:firstColumn="1" w:firstRow="1" w:lastColumn="0" w:lastRow="0" w:noHBand="0" w:noVBand="1" w:val="04A0"/>
      </w:tblPr>
      <w:tblGrid>
        <w:gridCol w:w="4873"/>
        <w:gridCol w:w="4873"/>
      </w:tblGrid>
      <w:tr>
        <w:trPr>
          <w:cantSplit/>
        </w:trPr>
        <w:tc>
          <w:tcPr>
            <w:tcW w:type="dxa" w:w="4535"/>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Gösterge</w:t>
            </w:r>
          </w:p>
        </w:tc>
        <w:tc>
          <w:tcPr>
            <w:tcW w:type="dxa" w:w="3402"/>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Değer</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Katılımcı Sayısı</w:t>
            </w:r>
          </w:p>
        </w:tc>
        <w:tc>
          <w:tcPr>
            <w:tcW w:type="dxa" w:w="3402"/>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113</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Değerlendirilen Likert Madde Sayısı</w:t>
            </w:r>
          </w:p>
        </w:tc>
        <w:tc>
          <w:tcPr>
            <w:tcW w:type="dxa" w:w="3402"/>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17</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Toplam Değerlendirilen Likert Yanıtı</w:t>
            </w:r>
          </w:p>
        </w:tc>
        <w:tc>
          <w:tcPr>
            <w:tcW w:type="dxa" w:w="3402"/>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1921</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Genel Ortalama</w:t>
            </w:r>
          </w:p>
        </w:tc>
        <w:tc>
          <w:tcPr>
            <w:tcW w:type="dxa" w:w="3402"/>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3,56 / 5,00</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Olumlu Görüş Oranı</w:t>
            </w:r>
          </w:p>
        </w:tc>
        <w:tc>
          <w:tcPr>
            <w:tcW w:type="dxa" w:w="3402"/>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%59,8</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Kararsız Görüş Oranı</w:t>
            </w:r>
          </w:p>
        </w:tc>
        <w:tc>
          <w:tcPr>
            <w:tcW w:type="dxa" w:w="3402"/>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%11,7</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Olumsuz Görüş Oranı</w:t>
            </w:r>
          </w:p>
        </w:tc>
        <w:tc>
          <w:tcPr>
            <w:tcW w:type="dxa" w:w="3402"/>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%28,5</w:t>
            </w:r>
          </w:p>
        </w:tc>
      </w:tr>
    </w:tbl>
    <w:p>
      <w:pPr>
        <w:spacing w:after="160"/>
        <w:jc w:val="center"/>
      </w:pPr>
      <w:r>
        <w:drawing>
          <wp:inline xmlns:a="http://schemas.openxmlformats.org/drawingml/2006/main" xmlns:pic="http://schemas.openxmlformats.org/drawingml/2006/picture">
            <wp:extent cx="5303520" cy="2757478"/>
            <wp:docPr id="1" name="Picture 1"/>
            <wp:cNvGraphicFramePr>
              <a:graphicFrameLocks noChangeAspect="1"/>
            </wp:cNvGraphicFramePr>
            <a:graphic>
              <a:graphicData uri="http://schemas.openxmlformats.org/drawingml/2006/picture">
                <pic:pic>
                  <pic:nvPicPr>
                    <pic:cNvPr id="0" name="genel_gorus_egilimi.png"/>
                    <pic:cNvPicPr/>
                  </pic:nvPicPr>
                  <pic:blipFill>
                    <a:blip r:embed="rId10"/>
                    <a:stretch>
                      <a:fillRect/>
                    </a:stretch>
                  </pic:blipFill>
                  <pic:spPr>
                    <a:xfrm>
                      <a:off x="0" y="0"/>
                      <a:ext cx="5303520" cy="2757478"/>
                    </a:xfrm>
                    <a:prstGeom prst="rect"/>
                  </pic:spPr>
                </pic:pic>
              </a:graphicData>
            </a:graphic>
          </wp:inline>
        </w:drawing>
      </w:r>
    </w:p>
    <w:p>
      <w:pPr>
        <w:pStyle w:val="Heading1"/>
      </w:pPr>
      <w:r>
        <w:t>4. Katılımcı Dağılımının Değerlendirilmesi</w:t>
      </w:r>
    </w:p>
    <w:p>
      <w:r>
        <w:rPr>
          <w:rFonts w:ascii="Times New Roman" w:hAnsi="Times New Roman" w:eastAsia="Times New Roman"/>
          <w:b w:val="0"/>
          <w:i w:val="0"/>
          <w:sz w:val="21"/>
        </w:rPr>
        <w:t>Katılımcıların sınıf düzeylerine göre dağılımı incelendiğinde ankete en yüksek katılımın 2. sınıf öğrencilerinden geldiği görülmektedir. Bu dağılım, danışmanlık hizmetlerinin farklı sınıf düzeylerindeki öğrenciler tarafından değerlendirildiğini göstermektedir.</w:t>
      </w:r>
    </w:p>
    <w:tbl>
      <w:tblPr>
        <w:tblStyle w:val="TableGrid"/>
        <w:tblW w:type="auto" w:w="0"/>
        <w:jc w:val="center"/>
        <w:tblLook w:firstColumn="1" w:firstRow="1" w:lastColumn="0" w:lastRow="0" w:noHBand="0" w:noVBand="1" w:val="04A0"/>
      </w:tblPr>
      <w:tblGrid>
        <w:gridCol w:w="3249"/>
        <w:gridCol w:w="3249"/>
        <w:gridCol w:w="3249"/>
      </w:tblGrid>
      <w:tr>
        <w:trPr>
          <w:cantSplit/>
        </w:trPr>
        <w:tc>
          <w:tcPr>
            <w:tcW w:type="dxa" w:w="2835"/>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Sınıf</w:t>
            </w:r>
          </w:p>
        </w:tc>
        <w:tc>
          <w:tcPr>
            <w:tcW w:type="dxa" w:w="2835"/>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Katılımcı Sayısı</w:t>
            </w:r>
          </w:p>
        </w:tc>
        <w:tc>
          <w:tcPr>
            <w:tcW w:type="dxa" w:w="2835"/>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Oran</w:t>
            </w:r>
          </w:p>
        </w:tc>
      </w:tr>
      <w:tr>
        <w:trPr>
          <w:cantSplit/>
        </w:trPr>
        <w:tc>
          <w:tcPr>
            <w:tcW w:type="dxa" w:w="28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1.sınıf</w:t>
            </w:r>
          </w:p>
        </w:tc>
        <w:tc>
          <w:tcPr>
            <w:tcW w:type="dxa" w:w="28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28</w:t>
            </w:r>
          </w:p>
        </w:tc>
        <w:tc>
          <w:tcPr>
            <w:tcW w:type="dxa" w:w="28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%24,8</w:t>
            </w:r>
          </w:p>
        </w:tc>
      </w:tr>
      <w:tr>
        <w:trPr>
          <w:cantSplit/>
        </w:trPr>
        <w:tc>
          <w:tcPr>
            <w:tcW w:type="dxa" w:w="28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2.sınıf</w:t>
            </w:r>
          </w:p>
        </w:tc>
        <w:tc>
          <w:tcPr>
            <w:tcW w:type="dxa" w:w="28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35</w:t>
            </w:r>
          </w:p>
        </w:tc>
        <w:tc>
          <w:tcPr>
            <w:tcW w:type="dxa" w:w="28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%31,0</w:t>
            </w:r>
          </w:p>
        </w:tc>
      </w:tr>
      <w:tr>
        <w:trPr>
          <w:cantSplit/>
        </w:trPr>
        <w:tc>
          <w:tcPr>
            <w:tcW w:type="dxa" w:w="28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3.sınıf</w:t>
            </w:r>
          </w:p>
        </w:tc>
        <w:tc>
          <w:tcPr>
            <w:tcW w:type="dxa" w:w="28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9</w:t>
            </w:r>
          </w:p>
        </w:tc>
        <w:tc>
          <w:tcPr>
            <w:tcW w:type="dxa" w:w="28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%8,0</w:t>
            </w:r>
          </w:p>
        </w:tc>
      </w:tr>
      <w:tr>
        <w:trPr>
          <w:cantSplit/>
        </w:trPr>
        <w:tc>
          <w:tcPr>
            <w:tcW w:type="dxa" w:w="28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4.sınıf</w:t>
            </w:r>
          </w:p>
        </w:tc>
        <w:tc>
          <w:tcPr>
            <w:tcW w:type="dxa" w:w="28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22</w:t>
            </w:r>
          </w:p>
        </w:tc>
        <w:tc>
          <w:tcPr>
            <w:tcW w:type="dxa" w:w="28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%19,5</w:t>
            </w:r>
          </w:p>
        </w:tc>
      </w:tr>
      <w:tr>
        <w:trPr>
          <w:cantSplit/>
        </w:trPr>
        <w:tc>
          <w:tcPr>
            <w:tcW w:type="dxa" w:w="28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5.sınıf</w:t>
            </w:r>
          </w:p>
        </w:tc>
        <w:tc>
          <w:tcPr>
            <w:tcW w:type="dxa" w:w="28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19</w:t>
            </w:r>
          </w:p>
        </w:tc>
        <w:tc>
          <w:tcPr>
            <w:tcW w:type="dxa" w:w="28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%16,8</w:t>
            </w:r>
          </w:p>
        </w:tc>
      </w:tr>
    </w:tbl>
    <w:p>
      <w:pPr>
        <w:spacing w:after="160"/>
        <w:jc w:val="center"/>
      </w:pPr>
      <w:r>
        <w:drawing>
          <wp:inline xmlns:a="http://schemas.openxmlformats.org/drawingml/2006/main" xmlns:pic="http://schemas.openxmlformats.org/drawingml/2006/picture">
            <wp:extent cx="5394960" cy="2813982"/>
            <wp:docPr id="2" name="Picture 2"/>
            <wp:cNvGraphicFramePr>
              <a:graphicFrameLocks noChangeAspect="1"/>
            </wp:cNvGraphicFramePr>
            <a:graphic>
              <a:graphicData uri="http://schemas.openxmlformats.org/drawingml/2006/picture">
                <pic:pic>
                  <pic:nvPicPr>
                    <pic:cNvPr id="0" name="sinif_dagilimi.png"/>
                    <pic:cNvPicPr/>
                  </pic:nvPicPr>
                  <pic:blipFill>
                    <a:blip r:embed="rId11"/>
                    <a:stretch>
                      <a:fillRect/>
                    </a:stretch>
                  </pic:blipFill>
                  <pic:spPr>
                    <a:xfrm>
                      <a:off x="0" y="0"/>
                      <a:ext cx="5394960" cy="2813982"/>
                    </a:xfrm>
                    <a:prstGeom prst="rect"/>
                  </pic:spPr>
                </pic:pic>
              </a:graphicData>
            </a:graphic>
          </wp:inline>
        </w:drawing>
      </w:r>
    </w:p>
    <w:p>
      <w:pPr>
        <w:pStyle w:val="Heading1"/>
      </w:pPr>
      <w:r>
        <w:t>5. Öğretim Elemanı / Akademik Danışmanlık Değerlendirme Bulguları</w:t>
      </w:r>
    </w:p>
    <w:p>
      <w:pPr>
        <w:pStyle w:val="Heading2"/>
      </w:pPr>
      <w:r>
        <w:t>5.1. Genel Yanıt Eğilimi</w:t>
      </w:r>
    </w:p>
    <w:p>
      <w:r>
        <w:rPr>
          <w:rFonts w:ascii="Times New Roman" w:hAnsi="Times New Roman" w:eastAsia="Times New Roman"/>
          <w:b w:val="0"/>
          <w:i w:val="0"/>
          <w:sz w:val="21"/>
        </w:rPr>
        <w:t>Genel yanıt dağılımı, öğrencilerin akademik danışmanlık hizmetlerine ilişkin değerlendirmelerinde olumlu görüşlerin çoğunlukta olduğunu göstermektedir. Bununla birlikte olumsuz görüş oranının da dikkate değer düzeyde olması, danışmanlık sisteminin tüm öğrenciler açısından eşit düzeyde etkili algılanmadığını ortaya koymaktadır.</w:t>
      </w:r>
    </w:p>
    <w:tbl>
      <w:tblPr>
        <w:tblStyle w:val="TableGrid"/>
        <w:tblW w:type="auto" w:w="0"/>
        <w:jc w:val="center"/>
        <w:tblLook w:firstColumn="1" w:firstRow="1" w:lastColumn="0" w:lastRow="0" w:noHBand="0" w:noVBand="1" w:val="04A0"/>
      </w:tblPr>
      <w:tblGrid>
        <w:gridCol w:w="3249"/>
        <w:gridCol w:w="3249"/>
        <w:gridCol w:w="3249"/>
      </w:tblGrid>
      <w:tr>
        <w:trPr>
          <w:cantSplit/>
        </w:trPr>
        <w:tc>
          <w:tcPr>
            <w:tcW w:type="dxa" w:w="4535"/>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Seçenek</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Frekans</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Oran</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 = Kesinlikle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877</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%45,7</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 =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272</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%14,2</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 = Kararsızım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224</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%11,7</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 =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139</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%7,2</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 = Kesinlikle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409</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%21,3</w:t>
            </w:r>
          </w:p>
        </w:tc>
      </w:tr>
    </w:tbl>
    <w:p>
      <w:pPr>
        <w:spacing w:after="160"/>
        <w:jc w:val="center"/>
      </w:pPr>
      <w:r>
        <w:drawing>
          <wp:inline xmlns:a="http://schemas.openxmlformats.org/drawingml/2006/main" xmlns:pic="http://schemas.openxmlformats.org/drawingml/2006/picture">
            <wp:extent cx="5486400" cy="2879818"/>
            <wp:docPr id="3" name="Picture 3"/>
            <wp:cNvGraphicFramePr>
              <a:graphicFrameLocks noChangeAspect="1"/>
            </wp:cNvGraphicFramePr>
            <a:graphic>
              <a:graphicData uri="http://schemas.openxmlformats.org/drawingml/2006/picture">
                <pic:pic>
                  <pic:nvPicPr>
                    <pic:cNvPr id="0" name="genel_yanit_dagilimi.png"/>
                    <pic:cNvPicPr/>
                  </pic:nvPicPr>
                  <pic:blipFill>
                    <a:blip r:embed="rId12"/>
                    <a:stretch>
                      <a:fillRect/>
                    </a:stretch>
                  </pic:blipFill>
                  <pic:spPr>
                    <a:xfrm>
                      <a:off x="0" y="0"/>
                      <a:ext cx="5486400" cy="2879818"/>
                    </a:xfrm>
                    <a:prstGeom prst="rect"/>
                  </pic:spPr>
                </pic:pic>
              </a:graphicData>
            </a:graphic>
          </wp:inline>
        </w:drawing>
      </w:r>
    </w:p>
    <w:p>
      <w:pPr>
        <w:pStyle w:val="Heading2"/>
      </w:pPr>
      <w:r>
        <w:t>5.2. Boyut Bazında Genel Eğilim</w:t>
      </w:r>
    </w:p>
    <w:p>
      <w:r>
        <w:rPr>
          <w:rFonts w:ascii="Times New Roman" w:hAnsi="Times New Roman" w:eastAsia="Times New Roman"/>
          <w:b w:val="0"/>
          <w:i w:val="0"/>
          <w:sz w:val="21"/>
        </w:rPr>
        <w:t>Maddeler tematik olarak beş ana boyutta gruplandırılmıştır. Boyut ortalamaları incelendiğinde en yüksek ortalamanın öğrenciye yaklaşım ve tutum boyutunda elde edildiği; en düşük ortalamanın ise mesleki gelişim, staj ve etkinlik bilgilendirmesi boyutunda yoğunlaştığı görülmektedir.</w:t>
      </w:r>
    </w:p>
    <w:tbl>
      <w:tblPr>
        <w:tblStyle w:val="TableGrid"/>
        <w:tblW w:type="auto" w:w="0"/>
        <w:jc w:val="center"/>
        <w:tblLook w:firstColumn="1" w:firstRow="1" w:lastColumn="0" w:lastRow="0" w:noHBand="0" w:noVBand="1" w:val="04A0"/>
      </w:tblPr>
      <w:tblGrid>
        <w:gridCol w:w="1949"/>
        <w:gridCol w:w="1949"/>
        <w:gridCol w:w="1949"/>
        <w:gridCol w:w="1949"/>
        <w:gridCol w:w="1949"/>
      </w:tblGrid>
      <w:tr>
        <w:trPr>
          <w:cantSplit/>
        </w:trPr>
        <w:tc>
          <w:tcPr>
            <w:tcW w:type="dxa" w:w="3969"/>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Boyut</w:t>
            </w:r>
          </w:p>
        </w:tc>
        <w:tc>
          <w:tcPr>
            <w:tcW w:type="dxa" w:w="1304"/>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Ortalama</w:t>
            </w:r>
          </w:p>
        </w:tc>
        <w:tc>
          <w:tcPr>
            <w:tcW w:type="dxa" w:w="1304"/>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Olumlu</w:t>
            </w:r>
          </w:p>
        </w:tc>
        <w:tc>
          <w:tcPr>
            <w:tcW w:type="dxa" w:w="1304"/>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Kararsız</w:t>
            </w:r>
          </w:p>
        </w:tc>
        <w:tc>
          <w:tcPr>
            <w:tcW w:type="dxa" w:w="1304"/>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Olumsuz</w:t>
            </w:r>
          </w:p>
        </w:tc>
      </w:tr>
      <w:tr>
        <w:trPr>
          <w:cantSplit/>
        </w:trPr>
        <w:tc>
          <w:tcPr>
            <w:tcW w:type="dxa" w:w="396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İletişim ve erişilebilirlik</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3,68</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%61,7</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%14,2</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%24,2</w:t>
            </w:r>
          </w:p>
        </w:tc>
      </w:tr>
      <w:tr>
        <w:trPr>
          <w:cantSplit/>
        </w:trPr>
        <w:tc>
          <w:tcPr>
            <w:tcW w:type="dxa" w:w="396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Akademik yönlendirme ve destek</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3,57</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%59,0</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%13,0</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%28,0</w:t>
            </w:r>
          </w:p>
        </w:tc>
      </w:tr>
      <w:tr>
        <w:trPr>
          <w:cantSplit/>
        </w:trPr>
        <w:tc>
          <w:tcPr>
            <w:tcW w:type="dxa" w:w="396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Mesleki gelişim, staj ve etkinlik bilgilendirmesi</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3,31</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%53,1</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%11,9</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%35,0</w:t>
            </w:r>
          </w:p>
        </w:tc>
      </w:tr>
      <w:tr>
        <w:trPr>
          <w:cantSplit/>
        </w:trPr>
        <w:tc>
          <w:tcPr>
            <w:tcW w:type="dxa" w:w="396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Öğrenciye yaklaşım ve tutum</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3,73</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%66,2</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%8,6</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%25,2</w:t>
            </w:r>
          </w:p>
        </w:tc>
      </w:tr>
      <w:tr>
        <w:trPr>
          <w:cantSplit/>
        </w:trPr>
        <w:tc>
          <w:tcPr>
            <w:tcW w:type="dxa" w:w="396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Genel memnuniyet ve akademik katkı</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3,51</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%59,3</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%11,5</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%29,2</w:t>
            </w:r>
          </w:p>
        </w:tc>
      </w:tr>
    </w:tbl>
    <w:p>
      <w:pPr>
        <w:spacing w:after="160"/>
        <w:jc w:val="center"/>
      </w:pPr>
      <w:r>
        <w:drawing>
          <wp:inline xmlns:a="http://schemas.openxmlformats.org/drawingml/2006/main" xmlns:pic="http://schemas.openxmlformats.org/drawingml/2006/picture">
            <wp:extent cx="5669280" cy="2724972"/>
            <wp:docPr id="4" name="Picture 4"/>
            <wp:cNvGraphicFramePr>
              <a:graphicFrameLocks noChangeAspect="1"/>
            </wp:cNvGraphicFramePr>
            <a:graphic>
              <a:graphicData uri="http://schemas.openxmlformats.org/drawingml/2006/picture">
                <pic:pic>
                  <pic:nvPicPr>
                    <pic:cNvPr id="0" name="boyut_ortalamalari.png"/>
                    <pic:cNvPicPr/>
                  </pic:nvPicPr>
                  <pic:blipFill>
                    <a:blip r:embed="rId13"/>
                    <a:stretch>
                      <a:fillRect/>
                    </a:stretch>
                  </pic:blipFill>
                  <pic:spPr>
                    <a:xfrm>
                      <a:off x="0" y="0"/>
                      <a:ext cx="5669280" cy="2724972"/>
                    </a:xfrm>
                    <a:prstGeom prst="rect"/>
                  </pic:spPr>
                </pic:pic>
              </a:graphicData>
            </a:graphic>
          </wp:inline>
        </w:drawing>
      </w:r>
    </w:p>
    <w:p>
      <w:pPr>
        <w:spacing w:after="160"/>
        <w:jc w:val="center"/>
      </w:pPr>
      <w:r>
        <w:drawing>
          <wp:inline xmlns:a="http://schemas.openxmlformats.org/drawingml/2006/main" xmlns:pic="http://schemas.openxmlformats.org/drawingml/2006/picture">
            <wp:extent cx="5669280" cy="2723186"/>
            <wp:docPr id="5" name="Picture 5"/>
            <wp:cNvGraphicFramePr>
              <a:graphicFrameLocks noChangeAspect="1"/>
            </wp:cNvGraphicFramePr>
            <a:graphic>
              <a:graphicData uri="http://schemas.openxmlformats.org/drawingml/2006/picture">
                <pic:pic>
                  <pic:nvPicPr>
                    <pic:cNvPr id="0" name="boyut_olumlu_oran.png"/>
                    <pic:cNvPicPr/>
                  </pic:nvPicPr>
                  <pic:blipFill>
                    <a:blip r:embed="rId14"/>
                    <a:stretch>
                      <a:fillRect/>
                    </a:stretch>
                  </pic:blipFill>
                  <pic:spPr>
                    <a:xfrm>
                      <a:off x="0" y="0"/>
                      <a:ext cx="5669280" cy="2723186"/>
                    </a:xfrm>
                    <a:prstGeom prst="rect"/>
                  </pic:spPr>
                </pic:pic>
              </a:graphicData>
            </a:graphic>
          </wp:inline>
        </w:drawing>
      </w:r>
    </w:p>
    <w:p>
      <w:pPr>
        <w:pStyle w:val="Heading2"/>
      </w:pPr>
      <w:r>
        <w:t>5.3. Güçlü Yönler ve Geliştirilmeye Açık Alanlar</w:t>
      </w:r>
    </w:p>
    <w:p>
      <w:r>
        <w:rPr>
          <w:rFonts w:ascii="Times New Roman" w:hAnsi="Times New Roman" w:eastAsia="Times New Roman"/>
          <w:b w:val="0"/>
          <w:i w:val="0"/>
          <w:sz w:val="21"/>
        </w:rPr>
        <w:t>En yüksek ortalamaya sahip maddeler Madde 11 (3,94); Madde 1 (3,80); Madde 12 (3,76); Madde 4 (3,68); Madde 3 (3,65) olarak sıralanmaktadır. Bu maddeler özellikle öğrenciye saygılı ve anlayışlı yaklaşım, ulaşılabilirlik, tarafsızlık ve iletişim boyutlarında güçlü bir algı bulunduğunu göstermektedir.</w:t>
      </w:r>
    </w:p>
    <w:p>
      <w:r>
        <w:rPr>
          <w:rFonts w:ascii="Times New Roman" w:hAnsi="Times New Roman" w:eastAsia="Times New Roman"/>
          <w:b w:val="0"/>
          <w:i w:val="0"/>
          <w:sz w:val="21"/>
        </w:rPr>
        <w:t>Görece düşük ortalamaya sahip maddeler ise Madde 9 (3,12); Madde 10 (3,31); Madde 7 (3,39); Madde 8 (3,41); Madde 15 (3,47) olarak belirlenmiştir. Bu maddeler daha çok staj ve uygulama fırsatları hakkında bilgilendirme, mesleki etkinliklerin duyurulması, alanla ilgili gelişmelerin paylaşılması ve öğrencilerin mesleki gelişimine yönelik rehberlik başlıklarında iyileştirme ihtiyacına işaret etmektedir.</w:t>
      </w:r>
    </w:p>
    <w:p>
      <w:pPr>
        <w:spacing w:after="160"/>
        <w:jc w:val="center"/>
      </w:pPr>
      <w:r>
        <w:drawing>
          <wp:inline xmlns:a="http://schemas.openxmlformats.org/drawingml/2006/main" xmlns:pic="http://schemas.openxmlformats.org/drawingml/2006/picture">
            <wp:extent cx="6126480" cy="2660849"/>
            <wp:docPr id="6" name="Picture 6"/>
            <wp:cNvGraphicFramePr>
              <a:graphicFrameLocks noChangeAspect="1"/>
            </wp:cNvGraphicFramePr>
            <a:graphic>
              <a:graphicData uri="http://schemas.openxmlformats.org/drawingml/2006/picture">
                <pic:pic>
                  <pic:nvPicPr>
                    <pic:cNvPr id="0" name="madde_ortalamalari.png"/>
                    <pic:cNvPicPr/>
                  </pic:nvPicPr>
                  <pic:blipFill>
                    <a:blip r:embed="rId15"/>
                    <a:stretch>
                      <a:fillRect/>
                    </a:stretch>
                  </pic:blipFill>
                  <pic:spPr>
                    <a:xfrm>
                      <a:off x="0" y="0"/>
                      <a:ext cx="6126480" cy="2660849"/>
                    </a:xfrm>
                    <a:prstGeom prst="rect"/>
                  </pic:spPr>
                </pic:pic>
              </a:graphicData>
            </a:graphic>
          </wp:inline>
        </w:drawing>
      </w:r>
    </w:p>
    <w:p>
      <w:pPr>
        <w:pStyle w:val="Heading2"/>
      </w:pPr>
      <w:r>
        <w:t>5.4. Madde Bazında Ayrıntılı Bulgular</w:t>
      </w:r>
    </w:p>
    <w:p>
      <w:pPr>
        <w:pStyle w:val="Heading3"/>
      </w:pPr>
      <w:r>
        <w:t>5.4.1. Madde 1’e İlişkin Bulgular</w:t>
      </w:r>
    </w:p>
    <w:p>
      <w:r>
        <w:rPr>
          <w:rFonts w:ascii="Times New Roman" w:hAnsi="Times New Roman" w:eastAsia="Times New Roman"/>
          <w:i/>
          <w:sz w:val="20"/>
        </w:rPr>
        <w:t>(Akademik danışmanım ihtiyaç duyduğumda kolayca ulaşılabilirdir.)</w:t>
      </w:r>
    </w:p>
    <w:p>
      <w:r>
        <w:rPr>
          <w:rFonts w:ascii="Times New Roman" w:hAnsi="Times New Roman" w:eastAsia="Times New Roman"/>
          <w:b w:val="0"/>
          <w:i w:val="0"/>
          <w:sz w:val="21"/>
        </w:rPr>
        <w:t>Katılımcıların; 55'i (%48,7) Kesinlikle Katılıyorum, 16'ü (%14,2) Katılıyorum, 22'ü (%19,5) Kararsızım, 4'si (%3,5) Katılmıyorum ve 16'i (%14,2) Kesinlikle Katılmıyorum şeklinde görüş bildirmiştir. Bu maddeye geçerli yanıt veren katılımcı sayısı 113'tür.</w:t>
      </w:r>
    </w:p>
    <w:p>
      <w:r>
        <w:rPr>
          <w:rFonts w:ascii="Times New Roman" w:hAnsi="Times New Roman" w:eastAsia="Times New Roman"/>
          <w:b w:val="0"/>
          <w:i w:val="0"/>
          <w:sz w:val="21"/>
        </w:rPr>
        <w:t>Ortalama puanın 3,80/5,00 olması, olumlu görüş oranının %62,8, kararsız görüş oranının %19,5 ve olumsuz görüş oranının %17,7 düzeyinde gerçekleşmesi; Bu sonuç, ilgili maddede genel eğilimin olumlu olduğunu; bununla birlikte kararsız ve olumsuz görüşlerin iyileştirme süreçlerinde dikkate alınması gerektiğini göstermektedir. Kararsız görüş oranının dikkate değer olması, uygulamanın tüm öğrenciler tarafından aynı açıklıkta ve görünürlükte algılanmadığını düşündürmektedir.</w:t>
      </w:r>
    </w:p>
    <w:tbl>
      <w:tblPr>
        <w:tblStyle w:val="TableGrid"/>
        <w:tblW w:type="auto" w:w="0"/>
        <w:jc w:val="center"/>
        <w:tblLook w:firstColumn="1" w:firstRow="1" w:lastColumn="0" w:lastRow="0" w:noHBand="0" w:noVBand="1" w:val="04A0"/>
      </w:tblPr>
      <w:tblGrid>
        <w:gridCol w:w="3249"/>
        <w:gridCol w:w="3249"/>
        <w:gridCol w:w="3249"/>
      </w:tblGrid>
      <w:tr>
        <w:trPr>
          <w:cantSplit/>
        </w:trPr>
        <w:tc>
          <w:tcPr>
            <w:tcW w:type="dxa" w:w="4535"/>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Seçenek</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Frekans</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Oran</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 = Kesinlikle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55</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%48,7</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 =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16</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%14,2</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 = Kararsızım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22</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%19,5</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 =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%3,5</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 = Kesinlikle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16</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%14,2</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Ortalama</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3,80 / 5,00</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r>
          </w:p>
        </w:tc>
      </w:tr>
    </w:tbl>
    <w:p>
      <w:pPr>
        <w:spacing w:after="160"/>
        <w:jc w:val="center"/>
      </w:pPr>
      <w:r>
        <w:drawing>
          <wp:inline xmlns:a="http://schemas.openxmlformats.org/drawingml/2006/main" xmlns:pic="http://schemas.openxmlformats.org/drawingml/2006/picture">
            <wp:extent cx="5394960" cy="2445833"/>
            <wp:docPr id="7" name="Picture 7"/>
            <wp:cNvGraphicFramePr>
              <a:graphicFrameLocks noChangeAspect="1"/>
            </wp:cNvGraphicFramePr>
            <a:graphic>
              <a:graphicData uri="http://schemas.openxmlformats.org/drawingml/2006/picture">
                <pic:pic>
                  <pic:nvPicPr>
                    <pic:cNvPr id="0" name="madde_01.png"/>
                    <pic:cNvPicPr/>
                  </pic:nvPicPr>
                  <pic:blipFill>
                    <a:blip r:embed="rId16"/>
                    <a:stretch>
                      <a:fillRect/>
                    </a:stretch>
                  </pic:blipFill>
                  <pic:spPr>
                    <a:xfrm>
                      <a:off x="0" y="0"/>
                      <a:ext cx="5394960" cy="2445833"/>
                    </a:xfrm>
                    <a:prstGeom prst="rect"/>
                  </pic:spPr>
                </pic:pic>
              </a:graphicData>
            </a:graphic>
          </wp:inline>
        </w:drawing>
      </w:r>
    </w:p>
    <w:p>
      <w:pPr>
        <w:pStyle w:val="Heading3"/>
      </w:pPr>
      <w:r>
        <w:t>5.4.2. Madde 2’e İlişkin Bulgular</w:t>
      </w:r>
    </w:p>
    <w:p>
      <w:r>
        <w:rPr>
          <w:rFonts w:ascii="Times New Roman" w:hAnsi="Times New Roman" w:eastAsia="Times New Roman"/>
          <w:i/>
          <w:sz w:val="20"/>
        </w:rPr>
        <w:t>(Danışmanım öğrenci görüşmelerine yeterli zaman ayırır.)</w:t>
      </w:r>
    </w:p>
    <w:p>
      <w:r>
        <w:rPr>
          <w:rFonts w:ascii="Times New Roman" w:hAnsi="Times New Roman" w:eastAsia="Times New Roman"/>
          <w:b w:val="0"/>
          <w:i w:val="0"/>
          <w:sz w:val="21"/>
        </w:rPr>
        <w:t>Katılımcıların; 51'i (%45,1) Kesinlikle Katılıyorum, 17'ü (%15,0) Katılıyorum, 14'ü (%12,4) Kararsızım, 9'si (%8,0) Katılmıyorum ve 22'i (%19,5) Kesinlikle Katılmıyorum şeklinde görüş bildirmiştir. Bu maddeye geçerli yanıt veren katılımcı sayısı 113'tür.</w:t>
      </w:r>
    </w:p>
    <w:p>
      <w:r>
        <w:rPr>
          <w:rFonts w:ascii="Times New Roman" w:hAnsi="Times New Roman" w:eastAsia="Times New Roman"/>
          <w:b w:val="0"/>
          <w:i w:val="0"/>
          <w:sz w:val="21"/>
        </w:rPr>
        <w:t>Ortalama puanın 3,58/5,00 olması, olumlu görüş oranının %60,2, kararsız görüş oranının %12,4 ve olumsuz görüş oranının %27,4 düzeyinde gerçekleşmesi; Bu sonuç, ilgili maddede genel eğilimin olumlu olduğunu; bununla birlikte kararsız ve olumsuz görüşlerin iyileştirme süreçlerinde dikkate alınması gerektiğini göstermektedir.</w:t>
      </w:r>
    </w:p>
    <w:tbl>
      <w:tblPr>
        <w:tblStyle w:val="TableGrid"/>
        <w:tblW w:type="auto" w:w="0"/>
        <w:jc w:val="center"/>
        <w:tblLook w:firstColumn="1" w:firstRow="1" w:lastColumn="0" w:lastRow="0" w:noHBand="0" w:noVBand="1" w:val="04A0"/>
      </w:tblPr>
      <w:tblGrid>
        <w:gridCol w:w="3249"/>
        <w:gridCol w:w="3249"/>
        <w:gridCol w:w="3249"/>
      </w:tblGrid>
      <w:tr>
        <w:trPr>
          <w:cantSplit/>
        </w:trPr>
        <w:tc>
          <w:tcPr>
            <w:tcW w:type="dxa" w:w="4535"/>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Seçenek</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Frekans</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Oran</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 = Kesinlikle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51</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%45,1</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 =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17</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%15,0</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 = Kararsızım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14</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%12,4</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 =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9</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%8,0</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 = Kesinlikle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22</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%19,5</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Ortalama</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3,58 / 5,00</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r>
          </w:p>
        </w:tc>
      </w:tr>
    </w:tbl>
    <w:p>
      <w:pPr>
        <w:spacing w:after="160"/>
        <w:jc w:val="center"/>
      </w:pPr>
      <w:r>
        <w:drawing>
          <wp:inline xmlns:a="http://schemas.openxmlformats.org/drawingml/2006/main" xmlns:pic="http://schemas.openxmlformats.org/drawingml/2006/picture">
            <wp:extent cx="5394960" cy="2445833"/>
            <wp:docPr id="8" name="Picture 8"/>
            <wp:cNvGraphicFramePr>
              <a:graphicFrameLocks noChangeAspect="1"/>
            </wp:cNvGraphicFramePr>
            <a:graphic>
              <a:graphicData uri="http://schemas.openxmlformats.org/drawingml/2006/picture">
                <pic:pic>
                  <pic:nvPicPr>
                    <pic:cNvPr id="0" name="madde_02.png"/>
                    <pic:cNvPicPr/>
                  </pic:nvPicPr>
                  <pic:blipFill>
                    <a:blip r:embed="rId17"/>
                    <a:stretch>
                      <a:fillRect/>
                    </a:stretch>
                  </pic:blipFill>
                  <pic:spPr>
                    <a:xfrm>
                      <a:off x="0" y="0"/>
                      <a:ext cx="5394960" cy="2445833"/>
                    </a:xfrm>
                    <a:prstGeom prst="rect"/>
                  </pic:spPr>
                </pic:pic>
              </a:graphicData>
            </a:graphic>
          </wp:inline>
        </w:drawing>
      </w:r>
    </w:p>
    <w:p>
      <w:pPr>
        <w:pStyle w:val="Heading3"/>
      </w:pPr>
      <w:r>
        <w:t>5.4.3. Madde 3’e İlişkin Bulgular</w:t>
      </w:r>
    </w:p>
    <w:p>
      <w:r>
        <w:rPr>
          <w:rFonts w:ascii="Times New Roman" w:hAnsi="Times New Roman" w:eastAsia="Times New Roman"/>
          <w:i/>
          <w:sz w:val="20"/>
        </w:rPr>
        <w:t>(Danışmanım iletişimde açık ve anlaşılırdır.)</w:t>
      </w:r>
    </w:p>
    <w:p>
      <w:r>
        <w:rPr>
          <w:rFonts w:ascii="Times New Roman" w:hAnsi="Times New Roman" w:eastAsia="Times New Roman"/>
          <w:b w:val="0"/>
          <w:i w:val="0"/>
          <w:sz w:val="21"/>
        </w:rPr>
        <w:t>Katılımcıların; 55'i (%48,7) Kesinlikle Katılıyorum, 15'ü (%13,3) Katılıyorum, 12'ü (%10,6) Kararsızım, 11'si (%9,7) Katılmıyorum ve 20'i (%17,7) Kesinlikle Katılmıyorum şeklinde görüş bildirmiştir. Bu maddeye geçerli yanıt veren katılımcı sayısı 113'tür.</w:t>
      </w:r>
    </w:p>
    <w:p>
      <w:r>
        <w:rPr>
          <w:rFonts w:ascii="Times New Roman" w:hAnsi="Times New Roman" w:eastAsia="Times New Roman"/>
          <w:b w:val="0"/>
          <w:i w:val="0"/>
          <w:sz w:val="21"/>
        </w:rPr>
        <w:t>Ortalama puanın 3,65/5,00 olması, olumlu görüş oranının %61,9, kararsız görüş oranının %10,6 ve olumsuz görüş oranının %27,4 düzeyinde gerçekleşmesi; Bu sonuç, ilgili maddede genel eğilimin olumlu olduğunu; bununla birlikte kararsız ve olumsuz görüşlerin iyileştirme süreçlerinde dikkate alınması gerektiğini göstermektedir.</w:t>
      </w:r>
    </w:p>
    <w:tbl>
      <w:tblPr>
        <w:tblStyle w:val="TableGrid"/>
        <w:tblW w:type="auto" w:w="0"/>
        <w:jc w:val="center"/>
        <w:tblLook w:firstColumn="1" w:firstRow="1" w:lastColumn="0" w:lastRow="0" w:noHBand="0" w:noVBand="1" w:val="04A0"/>
      </w:tblPr>
      <w:tblGrid>
        <w:gridCol w:w="3249"/>
        <w:gridCol w:w="3249"/>
        <w:gridCol w:w="3249"/>
      </w:tblGrid>
      <w:tr>
        <w:trPr>
          <w:cantSplit/>
        </w:trPr>
        <w:tc>
          <w:tcPr>
            <w:tcW w:type="dxa" w:w="4535"/>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Seçenek</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Frekans</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Oran</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 = Kesinlikle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55</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%48,7</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 =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15</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%13,3</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 = Kararsızım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12</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%10,6</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 =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11</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%9,7</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 = Kesinlikle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20</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%17,7</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Ortalama</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3,65 / 5,00</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r>
          </w:p>
        </w:tc>
      </w:tr>
    </w:tbl>
    <w:p>
      <w:pPr>
        <w:spacing w:after="160"/>
        <w:jc w:val="center"/>
      </w:pPr>
      <w:r>
        <w:drawing>
          <wp:inline xmlns:a="http://schemas.openxmlformats.org/drawingml/2006/main" xmlns:pic="http://schemas.openxmlformats.org/drawingml/2006/picture">
            <wp:extent cx="5394960" cy="2445833"/>
            <wp:docPr id="9" name="Picture 9"/>
            <wp:cNvGraphicFramePr>
              <a:graphicFrameLocks noChangeAspect="1"/>
            </wp:cNvGraphicFramePr>
            <a:graphic>
              <a:graphicData uri="http://schemas.openxmlformats.org/drawingml/2006/picture">
                <pic:pic>
                  <pic:nvPicPr>
                    <pic:cNvPr id="0" name="madde_03.png"/>
                    <pic:cNvPicPr/>
                  </pic:nvPicPr>
                  <pic:blipFill>
                    <a:blip r:embed="rId18"/>
                    <a:stretch>
                      <a:fillRect/>
                    </a:stretch>
                  </pic:blipFill>
                  <pic:spPr>
                    <a:xfrm>
                      <a:off x="0" y="0"/>
                      <a:ext cx="5394960" cy="2445833"/>
                    </a:xfrm>
                    <a:prstGeom prst="rect"/>
                  </pic:spPr>
                </pic:pic>
              </a:graphicData>
            </a:graphic>
          </wp:inline>
        </w:drawing>
      </w:r>
    </w:p>
    <w:p>
      <w:pPr>
        <w:pStyle w:val="Heading3"/>
      </w:pPr>
      <w:r>
        <w:t>5.4.4. Madde 4’e İlişkin Bulgular</w:t>
      </w:r>
    </w:p>
    <w:p>
      <w:r>
        <w:rPr>
          <w:rFonts w:ascii="Times New Roman" w:hAnsi="Times New Roman" w:eastAsia="Times New Roman"/>
          <w:i/>
          <w:sz w:val="20"/>
        </w:rPr>
        <w:t>(Ders seçimi konusunda yeterli yönlendirme yapar.)</w:t>
      </w:r>
    </w:p>
    <w:p>
      <w:r>
        <w:rPr>
          <w:rFonts w:ascii="Times New Roman" w:hAnsi="Times New Roman" w:eastAsia="Times New Roman"/>
          <w:b w:val="0"/>
          <w:i w:val="0"/>
          <w:sz w:val="21"/>
        </w:rPr>
        <w:t>Katılımcıların; 55'i (%48,7) Kesinlikle Katılıyorum, 15'ü (%13,3) Katılıyorum, 14'ü (%12,4) Kararsızım, 10'si (%8,8) Katılmıyorum ve 19'i (%16,8) Kesinlikle Katılmıyorum şeklinde görüş bildirmiştir. Bu maddeye geçerli yanıt veren katılımcı sayısı 113'tür.</w:t>
      </w:r>
    </w:p>
    <w:p>
      <w:r>
        <w:rPr>
          <w:rFonts w:ascii="Times New Roman" w:hAnsi="Times New Roman" w:eastAsia="Times New Roman"/>
          <w:b w:val="0"/>
          <w:i w:val="0"/>
          <w:sz w:val="21"/>
        </w:rPr>
        <w:t>Ortalama puanın 3,68/5,00 olması, olumlu görüş oranının %61,9, kararsız görüş oranının %12,4 ve olumsuz görüş oranının %25,7 düzeyinde gerçekleşmesi; Bu sonuç, ilgili maddede genel eğilimin olumlu olduğunu; bununla birlikte kararsız ve olumsuz görüşlerin iyileştirme süreçlerinde dikkate alınması gerektiğini göstermektedir.</w:t>
      </w:r>
    </w:p>
    <w:tbl>
      <w:tblPr>
        <w:tblStyle w:val="TableGrid"/>
        <w:tblW w:type="auto" w:w="0"/>
        <w:jc w:val="center"/>
        <w:tblLook w:firstColumn="1" w:firstRow="1" w:lastColumn="0" w:lastRow="0" w:noHBand="0" w:noVBand="1" w:val="04A0"/>
      </w:tblPr>
      <w:tblGrid>
        <w:gridCol w:w="3249"/>
        <w:gridCol w:w="3249"/>
        <w:gridCol w:w="3249"/>
      </w:tblGrid>
      <w:tr>
        <w:trPr>
          <w:cantSplit/>
        </w:trPr>
        <w:tc>
          <w:tcPr>
            <w:tcW w:type="dxa" w:w="4535"/>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Seçenek</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Frekans</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Oran</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 = Kesinlikle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55</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%48,7</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 =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15</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%13,3</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 = Kararsızım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14</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%12,4</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 =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10</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%8,8</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 = Kesinlikle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19</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%16,8</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Ortalama</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3,68 / 5,00</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r>
          </w:p>
        </w:tc>
      </w:tr>
    </w:tbl>
    <w:p>
      <w:pPr>
        <w:spacing w:after="160"/>
        <w:jc w:val="center"/>
      </w:pPr>
      <w:r>
        <w:drawing>
          <wp:inline xmlns:a="http://schemas.openxmlformats.org/drawingml/2006/main" xmlns:pic="http://schemas.openxmlformats.org/drawingml/2006/picture">
            <wp:extent cx="5394960" cy="2445833"/>
            <wp:docPr id="10" name="Picture 10"/>
            <wp:cNvGraphicFramePr>
              <a:graphicFrameLocks noChangeAspect="1"/>
            </wp:cNvGraphicFramePr>
            <a:graphic>
              <a:graphicData uri="http://schemas.openxmlformats.org/drawingml/2006/picture">
                <pic:pic>
                  <pic:nvPicPr>
                    <pic:cNvPr id="0" name="madde_04.png"/>
                    <pic:cNvPicPr/>
                  </pic:nvPicPr>
                  <pic:blipFill>
                    <a:blip r:embed="rId19"/>
                    <a:stretch>
                      <a:fillRect/>
                    </a:stretch>
                  </pic:blipFill>
                  <pic:spPr>
                    <a:xfrm>
                      <a:off x="0" y="0"/>
                      <a:ext cx="5394960" cy="2445833"/>
                    </a:xfrm>
                    <a:prstGeom prst="rect"/>
                  </pic:spPr>
                </pic:pic>
              </a:graphicData>
            </a:graphic>
          </wp:inline>
        </w:drawing>
      </w:r>
    </w:p>
    <w:p>
      <w:pPr>
        <w:pStyle w:val="Heading3"/>
      </w:pPr>
      <w:r>
        <w:t>5.4.5. Madde 5’e İlişkin Bulgular</w:t>
      </w:r>
    </w:p>
    <w:p>
      <w:r>
        <w:rPr>
          <w:rFonts w:ascii="Times New Roman" w:hAnsi="Times New Roman" w:eastAsia="Times New Roman"/>
          <w:i/>
          <w:sz w:val="20"/>
        </w:rPr>
        <w:t>(Akademik planlama konusunda yardımcı olur.)</w:t>
      </w:r>
    </w:p>
    <w:p>
      <w:r>
        <w:rPr>
          <w:rFonts w:ascii="Times New Roman" w:hAnsi="Times New Roman" w:eastAsia="Times New Roman"/>
          <w:b w:val="0"/>
          <w:i w:val="0"/>
          <w:sz w:val="21"/>
        </w:rPr>
        <w:t>Katılımcıların; 45'i (%39,8) Kesinlikle Katılıyorum, 19'ü (%16,8) Katılıyorum, 18'ü (%15,9) Kararsızım, 9'si (%8,0) Katılmıyorum ve 22'i (%19,5) Kesinlikle Katılmıyorum şeklinde görüş bildirmiştir. Bu maddeye geçerli yanıt veren katılımcı sayısı 113'tür.</w:t>
      </w:r>
    </w:p>
    <w:p>
      <w:r>
        <w:rPr>
          <w:rFonts w:ascii="Times New Roman" w:hAnsi="Times New Roman" w:eastAsia="Times New Roman"/>
          <w:b w:val="0"/>
          <w:i w:val="0"/>
          <w:sz w:val="21"/>
        </w:rPr>
        <w:t>Ortalama puanın 3,50/5,00 olması, olumlu görüş oranının %56,6, kararsız görüş oranının %15,9 ve olumsuz görüş oranının %27,4 düzeyinde gerçekleşmesi; Bu sonuç, ilgili maddede orta düzeyde bir değerlendirme bulunduğunu ve bu alanın geliştirmeye açık olduğunu göstermektedir. Kararsız görüş oranının dikkate değer olması, uygulamanın tüm öğrenciler tarafından aynı açıklıkta ve görünürlükte algılanmadığını düşündürmektedir.</w:t>
      </w:r>
    </w:p>
    <w:tbl>
      <w:tblPr>
        <w:tblStyle w:val="TableGrid"/>
        <w:tblW w:type="auto" w:w="0"/>
        <w:jc w:val="center"/>
        <w:tblLook w:firstColumn="1" w:firstRow="1" w:lastColumn="0" w:lastRow="0" w:noHBand="0" w:noVBand="1" w:val="04A0"/>
      </w:tblPr>
      <w:tblGrid>
        <w:gridCol w:w="3249"/>
        <w:gridCol w:w="3249"/>
        <w:gridCol w:w="3249"/>
      </w:tblGrid>
      <w:tr>
        <w:trPr>
          <w:cantSplit/>
        </w:trPr>
        <w:tc>
          <w:tcPr>
            <w:tcW w:type="dxa" w:w="4535"/>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Seçenek</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Frekans</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Oran</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 = Kesinlikle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45</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%39,8</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 =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19</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%16,8</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 = Kararsızım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18</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%15,9</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 =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9</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%8,0</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 = Kesinlikle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22</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%19,5</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Ortalama</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3,50 / 5,00</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r>
          </w:p>
        </w:tc>
      </w:tr>
    </w:tbl>
    <w:p>
      <w:pPr>
        <w:spacing w:after="160"/>
        <w:jc w:val="center"/>
      </w:pPr>
      <w:r>
        <w:drawing>
          <wp:inline xmlns:a="http://schemas.openxmlformats.org/drawingml/2006/main" xmlns:pic="http://schemas.openxmlformats.org/drawingml/2006/picture">
            <wp:extent cx="5394960" cy="2445833"/>
            <wp:docPr id="11" name="Picture 11"/>
            <wp:cNvGraphicFramePr>
              <a:graphicFrameLocks noChangeAspect="1"/>
            </wp:cNvGraphicFramePr>
            <a:graphic>
              <a:graphicData uri="http://schemas.openxmlformats.org/drawingml/2006/picture">
                <pic:pic>
                  <pic:nvPicPr>
                    <pic:cNvPr id="0" name="madde_05.png"/>
                    <pic:cNvPicPr/>
                  </pic:nvPicPr>
                  <pic:blipFill>
                    <a:blip r:embed="rId20"/>
                    <a:stretch>
                      <a:fillRect/>
                    </a:stretch>
                  </pic:blipFill>
                  <pic:spPr>
                    <a:xfrm>
                      <a:off x="0" y="0"/>
                      <a:ext cx="5394960" cy="2445833"/>
                    </a:xfrm>
                    <a:prstGeom prst="rect"/>
                  </pic:spPr>
                </pic:pic>
              </a:graphicData>
            </a:graphic>
          </wp:inline>
        </w:drawing>
      </w:r>
    </w:p>
    <w:p>
      <w:pPr>
        <w:pStyle w:val="Heading3"/>
      </w:pPr>
      <w:r>
        <w:t>5.4.6. Madde 6’e İlişkin Bulgular</w:t>
      </w:r>
    </w:p>
    <w:p>
      <w:r>
        <w:rPr>
          <w:rFonts w:ascii="Times New Roman" w:hAnsi="Times New Roman" w:eastAsia="Times New Roman"/>
          <w:i/>
          <w:sz w:val="20"/>
        </w:rPr>
        <w:t>(Akademik sorunlarımı çözmede destek sağlar.)</w:t>
      </w:r>
    </w:p>
    <w:p>
      <w:r>
        <w:rPr>
          <w:rFonts w:ascii="Times New Roman" w:hAnsi="Times New Roman" w:eastAsia="Times New Roman"/>
          <w:b w:val="0"/>
          <w:i w:val="0"/>
          <w:sz w:val="21"/>
        </w:rPr>
        <w:t>Katılımcıların; 54'i (%47,8) Kesinlikle Katılıyorum, 12'ü (%10,6) Katılıyorum, 12'ü (%10,6) Kararsızım, 11'si (%9,7) Katılmıyorum ve 24'i (%21,2) Kesinlikle Katılmıyorum şeklinde görüş bildirmiştir. Bu maddeye geçerli yanıt veren katılımcı sayısı 113'tür.</w:t>
      </w:r>
    </w:p>
    <w:p>
      <w:r>
        <w:rPr>
          <w:rFonts w:ascii="Times New Roman" w:hAnsi="Times New Roman" w:eastAsia="Times New Roman"/>
          <w:b w:val="0"/>
          <w:i w:val="0"/>
          <w:sz w:val="21"/>
        </w:rPr>
        <w:t>Ortalama puanın 3,54/5,00 olması, olumlu görüş oranının %58,4, kararsız görüş oranının %10,6 ve olumsuz görüş oranının %31,0 düzeyinde gerçekleşmesi; Bu sonuç, ilgili maddede genel eğilimin olumlu olduğunu; bununla birlikte kararsız ve olumsuz görüşlerin iyileştirme süreçlerinde dikkate alınması gerektiğini göstermektedir. Olumsuz görüş oranının belirgin düzeyde olması, bu başlıkta öğrenci beklentilerinin daha ayrıntılı izlenmesini gerekli kılmaktadır.</w:t>
      </w:r>
    </w:p>
    <w:tbl>
      <w:tblPr>
        <w:tblStyle w:val="TableGrid"/>
        <w:tblW w:type="auto" w:w="0"/>
        <w:jc w:val="center"/>
        <w:tblLook w:firstColumn="1" w:firstRow="1" w:lastColumn="0" w:lastRow="0" w:noHBand="0" w:noVBand="1" w:val="04A0"/>
      </w:tblPr>
      <w:tblGrid>
        <w:gridCol w:w="3249"/>
        <w:gridCol w:w="3249"/>
        <w:gridCol w:w="3249"/>
      </w:tblGrid>
      <w:tr>
        <w:trPr>
          <w:cantSplit/>
        </w:trPr>
        <w:tc>
          <w:tcPr>
            <w:tcW w:type="dxa" w:w="4535"/>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Seçenek</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Frekans</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Oran</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 = Kesinlikle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54</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%47,8</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 =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12</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%10,6</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 = Kararsızım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12</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%10,6</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 =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11</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%9,7</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 = Kesinlikle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24</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%21,2</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Ortalama</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3,54 / 5,00</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r>
          </w:p>
        </w:tc>
      </w:tr>
    </w:tbl>
    <w:p>
      <w:pPr>
        <w:spacing w:after="160"/>
        <w:jc w:val="center"/>
      </w:pPr>
      <w:r>
        <w:drawing>
          <wp:inline xmlns:a="http://schemas.openxmlformats.org/drawingml/2006/main" xmlns:pic="http://schemas.openxmlformats.org/drawingml/2006/picture">
            <wp:extent cx="5394960" cy="2445833"/>
            <wp:docPr id="12" name="Picture 12"/>
            <wp:cNvGraphicFramePr>
              <a:graphicFrameLocks noChangeAspect="1"/>
            </wp:cNvGraphicFramePr>
            <a:graphic>
              <a:graphicData uri="http://schemas.openxmlformats.org/drawingml/2006/picture">
                <pic:pic>
                  <pic:nvPicPr>
                    <pic:cNvPr id="0" name="madde_06.png"/>
                    <pic:cNvPicPr/>
                  </pic:nvPicPr>
                  <pic:blipFill>
                    <a:blip r:embed="rId21"/>
                    <a:stretch>
                      <a:fillRect/>
                    </a:stretch>
                  </pic:blipFill>
                  <pic:spPr>
                    <a:xfrm>
                      <a:off x="0" y="0"/>
                      <a:ext cx="5394960" cy="2445833"/>
                    </a:xfrm>
                    <a:prstGeom prst="rect"/>
                  </pic:spPr>
                </pic:pic>
              </a:graphicData>
            </a:graphic>
          </wp:inline>
        </w:drawing>
      </w:r>
    </w:p>
    <w:p>
      <w:pPr>
        <w:pStyle w:val="Heading3"/>
      </w:pPr>
      <w:r>
        <w:t>5.4.7. Madde 7’e İlişkin Bulgular</w:t>
      </w:r>
    </w:p>
    <w:p>
      <w:r>
        <w:rPr>
          <w:rFonts w:ascii="Times New Roman" w:hAnsi="Times New Roman" w:eastAsia="Times New Roman"/>
          <w:i/>
          <w:sz w:val="20"/>
        </w:rPr>
        <w:t>(Alanımla ilgili gelişmeler hakkında bilgilendirir.)</w:t>
      </w:r>
    </w:p>
    <w:p>
      <w:r>
        <w:rPr>
          <w:rFonts w:ascii="Times New Roman" w:hAnsi="Times New Roman" w:eastAsia="Times New Roman"/>
          <w:b w:val="0"/>
          <w:i w:val="0"/>
          <w:sz w:val="21"/>
        </w:rPr>
        <w:t>Katılımcıların; 48'i (%42,5) Kesinlikle Katılıyorum, 11'ü (%9,7) Katılıyorum, 17'ü (%15,0) Kararsızım, 11'si (%9,7) Katılmıyorum ve 26'i (%23,0) Kesinlikle Katılmıyorum şeklinde görüş bildirmiştir. Bu maddeye geçerli yanıt veren katılımcı sayısı 113'tür.</w:t>
      </w:r>
    </w:p>
    <w:p>
      <w:r>
        <w:rPr>
          <w:rFonts w:ascii="Times New Roman" w:hAnsi="Times New Roman" w:eastAsia="Times New Roman"/>
          <w:b w:val="0"/>
          <w:i w:val="0"/>
          <w:sz w:val="21"/>
        </w:rPr>
        <w:t>Ortalama puanın 3,39/5,00 olması, olumlu görüş oranının %52,2, kararsız görüş oranının %15,0 ve olumsuz görüş oranının %32,7 düzeyinde gerçekleşmesi; Bu sonuç, ilgili maddede orta düzeyde bir değerlendirme bulunduğunu ve bu alanın geliştirmeye açık olduğunu göstermektedir. Olumsuz görüş oranının belirgin düzeyde olması, bu başlıkta öğrenci beklentilerinin daha ayrıntılı izlenmesini gerekli kılmaktadır.</w:t>
      </w:r>
    </w:p>
    <w:tbl>
      <w:tblPr>
        <w:tblStyle w:val="TableGrid"/>
        <w:tblW w:type="auto" w:w="0"/>
        <w:jc w:val="center"/>
        <w:tblLook w:firstColumn="1" w:firstRow="1" w:lastColumn="0" w:lastRow="0" w:noHBand="0" w:noVBand="1" w:val="04A0"/>
      </w:tblPr>
      <w:tblGrid>
        <w:gridCol w:w="3249"/>
        <w:gridCol w:w="3249"/>
        <w:gridCol w:w="3249"/>
      </w:tblGrid>
      <w:tr>
        <w:trPr>
          <w:cantSplit/>
        </w:trPr>
        <w:tc>
          <w:tcPr>
            <w:tcW w:type="dxa" w:w="4535"/>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Seçenek</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Frekans</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Oran</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 = Kesinlikle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48</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%42,5</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 =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11</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%9,7</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 = Kararsızım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17</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%15,0</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 =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11</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%9,7</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 = Kesinlikle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26</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%23,0</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Ortalama</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3,39 / 5,00</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r>
          </w:p>
        </w:tc>
      </w:tr>
    </w:tbl>
    <w:p>
      <w:pPr>
        <w:spacing w:after="160"/>
        <w:jc w:val="center"/>
      </w:pPr>
      <w:r>
        <w:drawing>
          <wp:inline xmlns:a="http://schemas.openxmlformats.org/drawingml/2006/main" xmlns:pic="http://schemas.openxmlformats.org/drawingml/2006/picture">
            <wp:extent cx="5394960" cy="2445833"/>
            <wp:docPr id="13" name="Picture 13"/>
            <wp:cNvGraphicFramePr>
              <a:graphicFrameLocks noChangeAspect="1"/>
            </wp:cNvGraphicFramePr>
            <a:graphic>
              <a:graphicData uri="http://schemas.openxmlformats.org/drawingml/2006/picture">
                <pic:pic>
                  <pic:nvPicPr>
                    <pic:cNvPr id="0" name="madde_07.png"/>
                    <pic:cNvPicPr/>
                  </pic:nvPicPr>
                  <pic:blipFill>
                    <a:blip r:embed="rId22"/>
                    <a:stretch>
                      <a:fillRect/>
                    </a:stretch>
                  </pic:blipFill>
                  <pic:spPr>
                    <a:xfrm>
                      <a:off x="0" y="0"/>
                      <a:ext cx="5394960" cy="2445833"/>
                    </a:xfrm>
                    <a:prstGeom prst="rect"/>
                  </pic:spPr>
                </pic:pic>
              </a:graphicData>
            </a:graphic>
          </wp:inline>
        </w:drawing>
      </w:r>
    </w:p>
    <w:p>
      <w:pPr>
        <w:pStyle w:val="Heading3"/>
      </w:pPr>
      <w:r>
        <w:t>5.4.8. Madde 8’e İlişkin Bulgular</w:t>
      </w:r>
    </w:p>
    <w:p>
      <w:r>
        <w:rPr>
          <w:rFonts w:ascii="Times New Roman" w:hAnsi="Times New Roman" w:eastAsia="Times New Roman"/>
          <w:i/>
          <w:sz w:val="20"/>
        </w:rPr>
        <w:t>(Mesleki gelişimim konusunda yol gösterir.)</w:t>
      </w:r>
    </w:p>
    <w:p>
      <w:r>
        <w:rPr>
          <w:rFonts w:ascii="Times New Roman" w:hAnsi="Times New Roman" w:eastAsia="Times New Roman"/>
          <w:b w:val="0"/>
          <w:i w:val="0"/>
          <w:sz w:val="21"/>
        </w:rPr>
        <w:t>Katılımcıların; 49'i (%43,4) Kesinlikle Katılıyorum, 16'ü (%14,2) Katılıyorum, 9'ü (%8,0) Kararsızım, 10'si (%8,8) Katılmıyorum ve 29'i (%25,7) Kesinlikle Katılmıyorum şeklinde görüş bildirmiştir. Bu maddeye geçerli yanıt veren katılımcı sayısı 113'tür.</w:t>
      </w:r>
    </w:p>
    <w:p>
      <w:r>
        <w:rPr>
          <w:rFonts w:ascii="Times New Roman" w:hAnsi="Times New Roman" w:eastAsia="Times New Roman"/>
          <w:b w:val="0"/>
          <w:i w:val="0"/>
          <w:sz w:val="21"/>
        </w:rPr>
        <w:t>Ortalama puanın 3,41/5,00 olması, olumlu görüş oranının %57,5, kararsız görüş oranının %8,0 ve olumsuz görüş oranının %34,5 düzeyinde gerçekleşmesi; Bu sonuç, ilgili maddede orta düzeyde bir değerlendirme bulunduğunu ve bu alanın geliştirmeye açık olduğunu göstermektedir. Olumsuz görüş oranının belirgin düzeyde olması, bu başlıkta öğrenci beklentilerinin daha ayrıntılı izlenmesini gerekli kılmaktadır.</w:t>
      </w:r>
    </w:p>
    <w:tbl>
      <w:tblPr>
        <w:tblStyle w:val="TableGrid"/>
        <w:tblW w:type="auto" w:w="0"/>
        <w:jc w:val="center"/>
        <w:tblLook w:firstColumn="1" w:firstRow="1" w:lastColumn="0" w:lastRow="0" w:noHBand="0" w:noVBand="1" w:val="04A0"/>
      </w:tblPr>
      <w:tblGrid>
        <w:gridCol w:w="3249"/>
        <w:gridCol w:w="3249"/>
        <w:gridCol w:w="3249"/>
      </w:tblGrid>
      <w:tr>
        <w:trPr>
          <w:cantSplit/>
        </w:trPr>
        <w:tc>
          <w:tcPr>
            <w:tcW w:type="dxa" w:w="4535"/>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Seçenek</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Frekans</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Oran</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 = Kesinlikle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49</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%43,4</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 =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16</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%14,2</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 = Kararsızım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9</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%8,0</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 =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10</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%8,8</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 = Kesinlikle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29</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%25,7</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Ortalama</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3,41 / 5,00</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r>
          </w:p>
        </w:tc>
      </w:tr>
    </w:tbl>
    <w:p>
      <w:pPr>
        <w:spacing w:after="160"/>
        <w:jc w:val="center"/>
      </w:pPr>
      <w:r>
        <w:drawing>
          <wp:inline xmlns:a="http://schemas.openxmlformats.org/drawingml/2006/main" xmlns:pic="http://schemas.openxmlformats.org/drawingml/2006/picture">
            <wp:extent cx="5394960" cy="2445833"/>
            <wp:docPr id="14" name="Picture 14"/>
            <wp:cNvGraphicFramePr>
              <a:graphicFrameLocks noChangeAspect="1"/>
            </wp:cNvGraphicFramePr>
            <a:graphic>
              <a:graphicData uri="http://schemas.openxmlformats.org/drawingml/2006/picture">
                <pic:pic>
                  <pic:nvPicPr>
                    <pic:cNvPr id="0" name="madde_08.png"/>
                    <pic:cNvPicPr/>
                  </pic:nvPicPr>
                  <pic:blipFill>
                    <a:blip r:embed="rId23"/>
                    <a:stretch>
                      <a:fillRect/>
                    </a:stretch>
                  </pic:blipFill>
                  <pic:spPr>
                    <a:xfrm>
                      <a:off x="0" y="0"/>
                      <a:ext cx="5394960" cy="2445833"/>
                    </a:xfrm>
                    <a:prstGeom prst="rect"/>
                  </pic:spPr>
                </pic:pic>
              </a:graphicData>
            </a:graphic>
          </wp:inline>
        </w:drawing>
      </w:r>
    </w:p>
    <w:p>
      <w:pPr>
        <w:pStyle w:val="Heading3"/>
      </w:pPr>
      <w:r>
        <w:t>5.4.9. Madde 9’e İlişkin Bulgular</w:t>
      </w:r>
    </w:p>
    <w:p>
      <w:r>
        <w:rPr>
          <w:rFonts w:ascii="Times New Roman" w:hAnsi="Times New Roman" w:eastAsia="Times New Roman"/>
          <w:i/>
          <w:sz w:val="20"/>
        </w:rPr>
        <w:t>(Staj ve uygulama fırsatları hakkında bilgilendirir.)</w:t>
      </w:r>
    </w:p>
    <w:p>
      <w:r>
        <w:rPr>
          <w:rFonts w:ascii="Times New Roman" w:hAnsi="Times New Roman" w:eastAsia="Times New Roman"/>
          <w:b w:val="0"/>
          <w:i w:val="0"/>
          <w:sz w:val="21"/>
        </w:rPr>
        <w:t>Katılımcıların; 36'i (%31,9) Kesinlikle Katılıyorum, 19'ü (%16,8) Katılıyorum, 16'ü (%14,2) Kararsızım, 7'si (%6,2) Katılmıyorum ve 35'i (%31,0) Kesinlikle Katılmıyorum şeklinde görüş bildirmiştir. Bu maddeye geçerli yanıt veren katılımcı sayısı 113'tür.</w:t>
      </w:r>
    </w:p>
    <w:p>
      <w:r>
        <w:rPr>
          <w:rFonts w:ascii="Times New Roman" w:hAnsi="Times New Roman" w:eastAsia="Times New Roman"/>
          <w:b w:val="0"/>
          <w:i w:val="0"/>
          <w:sz w:val="21"/>
        </w:rPr>
        <w:t>Ortalama puanın 3,12/5,00 olması, olumlu görüş oranının %48,7, kararsız görüş oranının %14,2 ve olumsuz görüş oranının %37,2 düzeyinde gerçekleşmesi; Bu sonuç, ilgili maddede orta düzeyde bir değerlendirme bulunduğunu ve bu alanın geliştirmeye açık olduğunu göstermektedir. Olumsuz görüş oranının belirgin düzeyde olması, bu başlıkta öğrenci beklentilerinin daha ayrıntılı izlenmesini gerekli kılmaktadır.</w:t>
      </w:r>
    </w:p>
    <w:tbl>
      <w:tblPr>
        <w:tblStyle w:val="TableGrid"/>
        <w:tblW w:type="auto" w:w="0"/>
        <w:jc w:val="center"/>
        <w:tblLook w:firstColumn="1" w:firstRow="1" w:lastColumn="0" w:lastRow="0" w:noHBand="0" w:noVBand="1" w:val="04A0"/>
      </w:tblPr>
      <w:tblGrid>
        <w:gridCol w:w="3249"/>
        <w:gridCol w:w="3249"/>
        <w:gridCol w:w="3249"/>
      </w:tblGrid>
      <w:tr>
        <w:trPr>
          <w:cantSplit/>
        </w:trPr>
        <w:tc>
          <w:tcPr>
            <w:tcW w:type="dxa" w:w="4535"/>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Seçenek</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Frekans</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Oran</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 = Kesinlikle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36</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%31,9</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 =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19</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%16,8</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 = Kararsızım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16</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%14,2</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 =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7</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%6,2</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 = Kesinlikle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35</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%31,0</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Ortalama</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3,12 / 5,00</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r>
          </w:p>
        </w:tc>
      </w:tr>
    </w:tbl>
    <w:p>
      <w:pPr>
        <w:spacing w:after="160"/>
        <w:jc w:val="center"/>
      </w:pPr>
      <w:r>
        <w:drawing>
          <wp:inline xmlns:a="http://schemas.openxmlformats.org/drawingml/2006/main" xmlns:pic="http://schemas.openxmlformats.org/drawingml/2006/picture">
            <wp:extent cx="5394960" cy="2445833"/>
            <wp:docPr id="15" name="Picture 15"/>
            <wp:cNvGraphicFramePr>
              <a:graphicFrameLocks noChangeAspect="1"/>
            </wp:cNvGraphicFramePr>
            <a:graphic>
              <a:graphicData uri="http://schemas.openxmlformats.org/drawingml/2006/picture">
                <pic:pic>
                  <pic:nvPicPr>
                    <pic:cNvPr id="0" name="madde_09.png"/>
                    <pic:cNvPicPr/>
                  </pic:nvPicPr>
                  <pic:blipFill>
                    <a:blip r:embed="rId24"/>
                    <a:stretch>
                      <a:fillRect/>
                    </a:stretch>
                  </pic:blipFill>
                  <pic:spPr>
                    <a:xfrm>
                      <a:off x="0" y="0"/>
                      <a:ext cx="5394960" cy="2445833"/>
                    </a:xfrm>
                    <a:prstGeom prst="rect"/>
                  </pic:spPr>
                </pic:pic>
              </a:graphicData>
            </a:graphic>
          </wp:inline>
        </w:drawing>
      </w:r>
    </w:p>
    <w:p>
      <w:pPr>
        <w:pStyle w:val="Heading3"/>
      </w:pPr>
      <w:r>
        <w:t>5.4.10. Madde 10’e İlişkin Bulgular</w:t>
      </w:r>
    </w:p>
    <w:p>
      <w:r>
        <w:rPr>
          <w:rFonts w:ascii="Times New Roman" w:hAnsi="Times New Roman" w:eastAsia="Times New Roman"/>
          <w:i/>
          <w:sz w:val="20"/>
        </w:rPr>
        <w:t>(Mesleki etkinlikler hakkında bilgi verir.)</w:t>
      </w:r>
    </w:p>
    <w:p>
      <w:r>
        <w:rPr>
          <w:rFonts w:ascii="Times New Roman" w:hAnsi="Times New Roman" w:eastAsia="Times New Roman"/>
          <w:b w:val="0"/>
          <w:i w:val="0"/>
          <w:sz w:val="21"/>
        </w:rPr>
        <w:t>Katılımcıların; 47'i (%41,6) Kesinlikle Katılıyorum, 14'ü (%12,4) Katılıyorum, 12'ü (%10,6) Kararsızım, 7'si (%6,2) Katılmıyorum ve 33'i (%29,2) Kesinlikle Katılmıyorum şeklinde görüş bildirmiştir. Bu maddeye geçerli yanıt veren katılımcı sayısı 113'tür.</w:t>
      </w:r>
    </w:p>
    <w:p>
      <w:r>
        <w:rPr>
          <w:rFonts w:ascii="Times New Roman" w:hAnsi="Times New Roman" w:eastAsia="Times New Roman"/>
          <w:b w:val="0"/>
          <w:i w:val="0"/>
          <w:sz w:val="21"/>
        </w:rPr>
        <w:t>Ortalama puanın 3,31/5,00 olması, olumlu görüş oranının %54,0, kararsız görüş oranının %10,6 ve olumsuz görüş oranının %35,4 düzeyinde gerçekleşmesi; Bu sonuç, ilgili maddede orta düzeyde bir değerlendirme bulunduğunu ve bu alanın geliştirmeye açık olduğunu göstermektedir. Olumsuz görüş oranının belirgin düzeyde olması, bu başlıkta öğrenci beklentilerinin daha ayrıntılı izlenmesini gerekli kılmaktadır.</w:t>
      </w:r>
    </w:p>
    <w:tbl>
      <w:tblPr>
        <w:tblStyle w:val="TableGrid"/>
        <w:tblW w:type="auto" w:w="0"/>
        <w:jc w:val="center"/>
        <w:tblLook w:firstColumn="1" w:firstRow="1" w:lastColumn="0" w:lastRow="0" w:noHBand="0" w:noVBand="1" w:val="04A0"/>
      </w:tblPr>
      <w:tblGrid>
        <w:gridCol w:w="3249"/>
        <w:gridCol w:w="3249"/>
        <w:gridCol w:w="3249"/>
      </w:tblGrid>
      <w:tr>
        <w:trPr>
          <w:cantSplit/>
        </w:trPr>
        <w:tc>
          <w:tcPr>
            <w:tcW w:type="dxa" w:w="4535"/>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Seçenek</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Frekans</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Oran</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 = Kesinlikle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47</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%41,6</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 =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14</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%12,4</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 = Kararsızım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12</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%10,6</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 =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7</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%6,2</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 = Kesinlikle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33</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%29,2</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Ortalama</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3,31 / 5,00</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r>
          </w:p>
        </w:tc>
      </w:tr>
    </w:tbl>
    <w:p>
      <w:pPr>
        <w:spacing w:after="160"/>
        <w:jc w:val="center"/>
      </w:pPr>
      <w:r>
        <w:drawing>
          <wp:inline xmlns:a="http://schemas.openxmlformats.org/drawingml/2006/main" xmlns:pic="http://schemas.openxmlformats.org/drawingml/2006/picture">
            <wp:extent cx="5394960" cy="2445833"/>
            <wp:docPr id="16" name="Picture 16"/>
            <wp:cNvGraphicFramePr>
              <a:graphicFrameLocks noChangeAspect="1"/>
            </wp:cNvGraphicFramePr>
            <a:graphic>
              <a:graphicData uri="http://schemas.openxmlformats.org/drawingml/2006/picture">
                <pic:pic>
                  <pic:nvPicPr>
                    <pic:cNvPr id="0" name="madde_10.png"/>
                    <pic:cNvPicPr/>
                  </pic:nvPicPr>
                  <pic:blipFill>
                    <a:blip r:embed="rId25"/>
                    <a:stretch>
                      <a:fillRect/>
                    </a:stretch>
                  </pic:blipFill>
                  <pic:spPr>
                    <a:xfrm>
                      <a:off x="0" y="0"/>
                      <a:ext cx="5394960" cy="2445833"/>
                    </a:xfrm>
                    <a:prstGeom prst="rect"/>
                  </pic:spPr>
                </pic:pic>
              </a:graphicData>
            </a:graphic>
          </wp:inline>
        </w:drawing>
      </w:r>
    </w:p>
    <w:p>
      <w:pPr>
        <w:pStyle w:val="Heading3"/>
      </w:pPr>
      <w:r>
        <w:t>5.4.11. Madde 11’e İlişkin Bulgular</w:t>
      </w:r>
    </w:p>
    <w:p>
      <w:r>
        <w:rPr>
          <w:rFonts w:ascii="Times New Roman" w:hAnsi="Times New Roman" w:eastAsia="Times New Roman"/>
          <w:i/>
          <w:sz w:val="20"/>
        </w:rPr>
        <w:t>(Öğrencilere karşı saygılı ve anlayışlıdır.)</w:t>
      </w:r>
    </w:p>
    <w:p>
      <w:r>
        <w:rPr>
          <w:rFonts w:ascii="Times New Roman" w:hAnsi="Times New Roman" w:eastAsia="Times New Roman"/>
          <w:b w:val="0"/>
          <w:i w:val="0"/>
          <w:sz w:val="21"/>
        </w:rPr>
        <w:t>Katılımcıların; 66'i (%58,4) Kesinlikle Katılıyorum, 15'ü (%13,3) Katılıyorum, 7'ü (%6,2) Kararsızım, 9'si (%8,0) Katılmıyorum ve 16'i (%14,2) Kesinlikle Katılmıyorum şeklinde görüş bildirmiştir. Bu maddeye geçerli yanıt veren katılımcı sayısı 113'tür.</w:t>
      </w:r>
    </w:p>
    <w:p>
      <w:r>
        <w:rPr>
          <w:rFonts w:ascii="Times New Roman" w:hAnsi="Times New Roman" w:eastAsia="Times New Roman"/>
          <w:b w:val="0"/>
          <w:i w:val="0"/>
          <w:sz w:val="21"/>
        </w:rPr>
        <w:t>Ortalama puanın 3,94/5,00 olması, olumlu görüş oranının %71,7, kararsız görüş oranının %6,2 ve olumsuz görüş oranının %22,1 düzeyinde gerçekleşmesi; Bu sonuç, ilgili maddede öğrenci algısının güçlü düzeyde olumlu olduğunu ve mevcut uygulamanın genel olarak başarılı bulunduğunu göstermektedir.</w:t>
      </w:r>
    </w:p>
    <w:tbl>
      <w:tblPr>
        <w:tblStyle w:val="TableGrid"/>
        <w:tblW w:type="auto" w:w="0"/>
        <w:jc w:val="center"/>
        <w:tblLook w:firstColumn="1" w:firstRow="1" w:lastColumn="0" w:lastRow="0" w:noHBand="0" w:noVBand="1" w:val="04A0"/>
      </w:tblPr>
      <w:tblGrid>
        <w:gridCol w:w="3249"/>
        <w:gridCol w:w="3249"/>
        <w:gridCol w:w="3249"/>
      </w:tblGrid>
      <w:tr>
        <w:trPr>
          <w:cantSplit/>
        </w:trPr>
        <w:tc>
          <w:tcPr>
            <w:tcW w:type="dxa" w:w="4535"/>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Seçenek</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Frekans</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Oran</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 = Kesinlikle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66</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%58,4</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 =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15</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%13,3</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 = Kararsızım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7</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%6,2</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 =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9</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%8,0</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 = Kesinlikle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16</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%14,2</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Ortalama</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3,94 / 5,00</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r>
          </w:p>
        </w:tc>
      </w:tr>
    </w:tbl>
    <w:p>
      <w:pPr>
        <w:spacing w:after="160"/>
        <w:jc w:val="center"/>
      </w:pPr>
      <w:r>
        <w:drawing>
          <wp:inline xmlns:a="http://schemas.openxmlformats.org/drawingml/2006/main" xmlns:pic="http://schemas.openxmlformats.org/drawingml/2006/picture">
            <wp:extent cx="5394960" cy="2445833"/>
            <wp:docPr id="17" name="Picture 17"/>
            <wp:cNvGraphicFramePr>
              <a:graphicFrameLocks noChangeAspect="1"/>
            </wp:cNvGraphicFramePr>
            <a:graphic>
              <a:graphicData uri="http://schemas.openxmlformats.org/drawingml/2006/picture">
                <pic:pic>
                  <pic:nvPicPr>
                    <pic:cNvPr id="0" name="madde_11.png"/>
                    <pic:cNvPicPr/>
                  </pic:nvPicPr>
                  <pic:blipFill>
                    <a:blip r:embed="rId26"/>
                    <a:stretch>
                      <a:fillRect/>
                    </a:stretch>
                  </pic:blipFill>
                  <pic:spPr>
                    <a:xfrm>
                      <a:off x="0" y="0"/>
                      <a:ext cx="5394960" cy="2445833"/>
                    </a:xfrm>
                    <a:prstGeom prst="rect"/>
                  </pic:spPr>
                </pic:pic>
              </a:graphicData>
            </a:graphic>
          </wp:inline>
        </w:drawing>
      </w:r>
    </w:p>
    <w:p>
      <w:pPr>
        <w:pStyle w:val="Heading3"/>
      </w:pPr>
      <w:r>
        <w:t>5.4.12. Madde 12’e İlişkin Bulgular</w:t>
      </w:r>
    </w:p>
    <w:p>
      <w:r>
        <w:rPr>
          <w:rFonts w:ascii="Times New Roman" w:hAnsi="Times New Roman" w:eastAsia="Times New Roman"/>
          <w:i/>
          <w:sz w:val="20"/>
        </w:rPr>
        <w:t>(Tarafsız ve adil davranır.)</w:t>
      </w:r>
    </w:p>
    <w:p>
      <w:r>
        <w:rPr>
          <w:rFonts w:ascii="Times New Roman" w:hAnsi="Times New Roman" w:eastAsia="Times New Roman"/>
          <w:b w:val="0"/>
          <w:i w:val="0"/>
          <w:sz w:val="21"/>
        </w:rPr>
        <w:t>Katılımcıların; 55'i (%48,7) Kesinlikle Katılıyorum, 22'ü (%19,5) Katılıyorum, 11'ü (%9,7) Kararsızım, 4'si (%3,5) Katılmıyorum ve 21'i (%18,6) Kesinlikle Katılmıyorum şeklinde görüş bildirmiştir. Bu maddeye geçerli yanıt veren katılımcı sayısı 113'tür.</w:t>
      </w:r>
    </w:p>
    <w:p>
      <w:r>
        <w:rPr>
          <w:rFonts w:ascii="Times New Roman" w:hAnsi="Times New Roman" w:eastAsia="Times New Roman"/>
          <w:b w:val="0"/>
          <w:i w:val="0"/>
          <w:sz w:val="21"/>
        </w:rPr>
        <w:t>Ortalama puanın 3,76/5,00 olması, olumlu görüş oranının %68,1, kararsız görüş oranının %9,7 ve olumsuz görüş oranının %22,1 düzeyinde gerçekleşmesi; Bu sonuç, ilgili maddede öğrenci algısının güçlü düzeyde olumlu olduğunu ve mevcut uygulamanın genel olarak başarılı bulunduğunu göstermektedir.</w:t>
      </w:r>
    </w:p>
    <w:tbl>
      <w:tblPr>
        <w:tblStyle w:val="TableGrid"/>
        <w:tblW w:type="auto" w:w="0"/>
        <w:jc w:val="center"/>
        <w:tblLook w:firstColumn="1" w:firstRow="1" w:lastColumn="0" w:lastRow="0" w:noHBand="0" w:noVBand="1" w:val="04A0"/>
      </w:tblPr>
      <w:tblGrid>
        <w:gridCol w:w="3249"/>
        <w:gridCol w:w="3249"/>
        <w:gridCol w:w="3249"/>
      </w:tblGrid>
      <w:tr>
        <w:trPr>
          <w:cantSplit/>
        </w:trPr>
        <w:tc>
          <w:tcPr>
            <w:tcW w:type="dxa" w:w="4535"/>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Seçenek</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Frekans</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Oran</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 = Kesinlikle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55</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%48,7</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 =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22</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%19,5</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 = Kararsızım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11</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%9,7</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 =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%3,5</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 = Kesinlikle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21</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%18,6</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Ortalama</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3,76 / 5,00</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r>
          </w:p>
        </w:tc>
      </w:tr>
    </w:tbl>
    <w:p>
      <w:pPr>
        <w:spacing w:after="160"/>
        <w:jc w:val="center"/>
      </w:pPr>
      <w:r>
        <w:drawing>
          <wp:inline xmlns:a="http://schemas.openxmlformats.org/drawingml/2006/main" xmlns:pic="http://schemas.openxmlformats.org/drawingml/2006/picture">
            <wp:extent cx="5394960" cy="2445833"/>
            <wp:docPr id="18" name="Picture 18"/>
            <wp:cNvGraphicFramePr>
              <a:graphicFrameLocks noChangeAspect="1"/>
            </wp:cNvGraphicFramePr>
            <a:graphic>
              <a:graphicData uri="http://schemas.openxmlformats.org/drawingml/2006/picture">
                <pic:pic>
                  <pic:nvPicPr>
                    <pic:cNvPr id="0" name="madde_12.png"/>
                    <pic:cNvPicPr/>
                  </pic:nvPicPr>
                  <pic:blipFill>
                    <a:blip r:embed="rId27"/>
                    <a:stretch>
                      <a:fillRect/>
                    </a:stretch>
                  </pic:blipFill>
                  <pic:spPr>
                    <a:xfrm>
                      <a:off x="0" y="0"/>
                      <a:ext cx="5394960" cy="2445833"/>
                    </a:xfrm>
                    <a:prstGeom prst="rect"/>
                  </pic:spPr>
                </pic:pic>
              </a:graphicData>
            </a:graphic>
          </wp:inline>
        </w:drawing>
      </w:r>
    </w:p>
    <w:p>
      <w:pPr>
        <w:pStyle w:val="Heading3"/>
      </w:pPr>
      <w:r>
        <w:t>5.4.13. Madde 13’e İlişkin Bulgular</w:t>
      </w:r>
    </w:p>
    <w:p>
      <w:r>
        <w:rPr>
          <w:rFonts w:ascii="Times New Roman" w:hAnsi="Times New Roman" w:eastAsia="Times New Roman"/>
          <w:i/>
          <w:sz w:val="20"/>
        </w:rPr>
        <w:t>(Öğrenci sorunlarına duyarlıdır.)</w:t>
      </w:r>
    </w:p>
    <w:p>
      <w:r>
        <w:rPr>
          <w:rFonts w:ascii="Times New Roman" w:hAnsi="Times New Roman" w:eastAsia="Times New Roman"/>
          <w:b w:val="0"/>
          <w:i w:val="0"/>
          <w:sz w:val="21"/>
        </w:rPr>
        <w:t>Katılımcıların; 56'i (%49,6) Kesinlikle Katılıyorum, 16'ü (%14,2) Katılıyorum, 10'ü (%8,8) Kararsızım, 8'si (%7,1) Katılmıyorum ve 23'i (%20,4) Kesinlikle Katılmıyorum şeklinde görüş bildirmiştir. Bu maddeye geçerli yanıt veren katılımcı sayısı 113'tür.</w:t>
      </w:r>
    </w:p>
    <w:p>
      <w:r>
        <w:rPr>
          <w:rFonts w:ascii="Times New Roman" w:hAnsi="Times New Roman" w:eastAsia="Times New Roman"/>
          <w:b w:val="0"/>
          <w:i w:val="0"/>
          <w:sz w:val="21"/>
        </w:rPr>
        <w:t>Ortalama puanın 3,65/5,00 olması, olumlu görüş oranının %63,7, kararsız görüş oranının %8,8 ve olumsuz görüş oranının %27,4 düzeyinde gerçekleşmesi; Bu sonuç, ilgili maddede genel eğilimin olumlu olduğunu; bununla birlikte kararsız ve olumsuz görüşlerin iyileştirme süreçlerinde dikkate alınması gerektiğini göstermektedir.</w:t>
      </w:r>
    </w:p>
    <w:tbl>
      <w:tblPr>
        <w:tblStyle w:val="TableGrid"/>
        <w:tblW w:type="auto" w:w="0"/>
        <w:jc w:val="center"/>
        <w:tblLook w:firstColumn="1" w:firstRow="1" w:lastColumn="0" w:lastRow="0" w:noHBand="0" w:noVBand="1" w:val="04A0"/>
      </w:tblPr>
      <w:tblGrid>
        <w:gridCol w:w="3249"/>
        <w:gridCol w:w="3249"/>
        <w:gridCol w:w="3249"/>
      </w:tblGrid>
      <w:tr>
        <w:trPr>
          <w:cantSplit/>
        </w:trPr>
        <w:tc>
          <w:tcPr>
            <w:tcW w:type="dxa" w:w="4535"/>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Seçenek</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Frekans</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Oran</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 = Kesinlikle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56</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%49,6</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 =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16</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%14,2</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 = Kararsızım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10</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%8,8</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 =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8</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%7,1</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 = Kesinlikle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23</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%20,4</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Ortalama</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3,65 / 5,00</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r>
          </w:p>
        </w:tc>
      </w:tr>
    </w:tbl>
    <w:p>
      <w:pPr>
        <w:spacing w:after="160"/>
        <w:jc w:val="center"/>
      </w:pPr>
      <w:r>
        <w:drawing>
          <wp:inline xmlns:a="http://schemas.openxmlformats.org/drawingml/2006/main" xmlns:pic="http://schemas.openxmlformats.org/drawingml/2006/picture">
            <wp:extent cx="5394960" cy="2445833"/>
            <wp:docPr id="19" name="Picture 19"/>
            <wp:cNvGraphicFramePr>
              <a:graphicFrameLocks noChangeAspect="1"/>
            </wp:cNvGraphicFramePr>
            <a:graphic>
              <a:graphicData uri="http://schemas.openxmlformats.org/drawingml/2006/picture">
                <pic:pic>
                  <pic:nvPicPr>
                    <pic:cNvPr id="0" name="madde_13.png"/>
                    <pic:cNvPicPr/>
                  </pic:nvPicPr>
                  <pic:blipFill>
                    <a:blip r:embed="rId28"/>
                    <a:stretch>
                      <a:fillRect/>
                    </a:stretch>
                  </pic:blipFill>
                  <pic:spPr>
                    <a:xfrm>
                      <a:off x="0" y="0"/>
                      <a:ext cx="5394960" cy="2445833"/>
                    </a:xfrm>
                    <a:prstGeom prst="rect"/>
                  </pic:spPr>
                </pic:pic>
              </a:graphicData>
            </a:graphic>
          </wp:inline>
        </w:drawing>
      </w:r>
    </w:p>
    <w:p>
      <w:pPr>
        <w:pStyle w:val="Heading3"/>
      </w:pPr>
      <w:r>
        <w:t>5.4.14. Madde 14’e İlişkin Bulgular</w:t>
      </w:r>
    </w:p>
    <w:p>
      <w:r>
        <w:rPr>
          <w:rFonts w:ascii="Times New Roman" w:hAnsi="Times New Roman" w:eastAsia="Times New Roman"/>
          <w:i/>
          <w:sz w:val="20"/>
        </w:rPr>
        <w:t>(Motive edici ve destekleyicidir.)</w:t>
      </w:r>
    </w:p>
    <w:p>
      <w:r>
        <w:rPr>
          <w:rFonts w:ascii="Times New Roman" w:hAnsi="Times New Roman" w:eastAsia="Times New Roman"/>
          <w:b w:val="0"/>
          <w:i w:val="0"/>
          <w:sz w:val="21"/>
        </w:rPr>
        <w:t>Katılımcıların; 53'i (%46,9) Kesinlikle Katılıyorum, 16'ü (%14,2) Katılıyorum, 11'ü (%9,7) Kararsızım, 10'si (%8,8) Katılmıyorum ve 23'i (%20,4) Kesinlikle Katılmıyorum şeklinde görüş bildirmiştir. Bu maddeye geçerli yanıt veren katılımcı sayısı 113'tür.</w:t>
      </w:r>
    </w:p>
    <w:p>
      <w:r>
        <w:rPr>
          <w:rFonts w:ascii="Times New Roman" w:hAnsi="Times New Roman" w:eastAsia="Times New Roman"/>
          <w:b w:val="0"/>
          <w:i w:val="0"/>
          <w:sz w:val="21"/>
        </w:rPr>
        <w:t>Ortalama puanın 3,58/5,00 olması, olumlu görüş oranının %61,1, kararsız görüş oranının %9,7 ve olumsuz görüş oranının %29,2 düzeyinde gerçekleşmesi; Bu sonuç, ilgili maddede genel eğilimin olumlu olduğunu; bununla birlikte kararsız ve olumsuz görüşlerin iyileştirme süreçlerinde dikkate alınması gerektiğini göstermektedir.</w:t>
      </w:r>
    </w:p>
    <w:tbl>
      <w:tblPr>
        <w:tblStyle w:val="TableGrid"/>
        <w:tblW w:type="auto" w:w="0"/>
        <w:jc w:val="center"/>
        <w:tblLook w:firstColumn="1" w:firstRow="1" w:lastColumn="0" w:lastRow="0" w:noHBand="0" w:noVBand="1" w:val="04A0"/>
      </w:tblPr>
      <w:tblGrid>
        <w:gridCol w:w="3249"/>
        <w:gridCol w:w="3249"/>
        <w:gridCol w:w="3249"/>
      </w:tblGrid>
      <w:tr>
        <w:trPr>
          <w:cantSplit/>
        </w:trPr>
        <w:tc>
          <w:tcPr>
            <w:tcW w:type="dxa" w:w="4535"/>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Seçenek</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Frekans</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Oran</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 = Kesinlikle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53</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%46,9</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 =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16</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%14,2</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 = Kararsızım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11</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%9,7</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 =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10</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%8,8</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 = Kesinlikle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23</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%20,4</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Ortalama</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3,58 / 5,00</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r>
          </w:p>
        </w:tc>
      </w:tr>
    </w:tbl>
    <w:p>
      <w:pPr>
        <w:spacing w:after="160"/>
        <w:jc w:val="center"/>
      </w:pPr>
      <w:r>
        <w:drawing>
          <wp:inline xmlns:a="http://schemas.openxmlformats.org/drawingml/2006/main" xmlns:pic="http://schemas.openxmlformats.org/drawingml/2006/picture">
            <wp:extent cx="5394960" cy="2445833"/>
            <wp:docPr id="20" name="Picture 20"/>
            <wp:cNvGraphicFramePr>
              <a:graphicFrameLocks noChangeAspect="1"/>
            </wp:cNvGraphicFramePr>
            <a:graphic>
              <a:graphicData uri="http://schemas.openxmlformats.org/drawingml/2006/picture">
                <pic:pic>
                  <pic:nvPicPr>
                    <pic:cNvPr id="0" name="madde_14.png"/>
                    <pic:cNvPicPr/>
                  </pic:nvPicPr>
                  <pic:blipFill>
                    <a:blip r:embed="rId29"/>
                    <a:stretch>
                      <a:fillRect/>
                    </a:stretch>
                  </pic:blipFill>
                  <pic:spPr>
                    <a:xfrm>
                      <a:off x="0" y="0"/>
                      <a:ext cx="5394960" cy="2445833"/>
                    </a:xfrm>
                    <a:prstGeom prst="rect"/>
                  </pic:spPr>
                </pic:pic>
              </a:graphicData>
            </a:graphic>
          </wp:inline>
        </w:drawing>
      </w:r>
    </w:p>
    <w:p>
      <w:pPr>
        <w:pStyle w:val="Heading3"/>
      </w:pPr>
      <w:r>
        <w:t>5.4.15. Madde 15’e İlişkin Bulgular</w:t>
      </w:r>
    </w:p>
    <w:p>
      <w:r>
        <w:rPr>
          <w:rFonts w:ascii="Times New Roman" w:hAnsi="Times New Roman" w:eastAsia="Times New Roman"/>
          <w:i/>
          <w:sz w:val="20"/>
        </w:rPr>
        <w:t>(Danışmanlık süreci beklentilerimi karşılar.)</w:t>
      </w:r>
    </w:p>
    <w:p>
      <w:r>
        <w:rPr>
          <w:rFonts w:ascii="Times New Roman" w:hAnsi="Times New Roman" w:eastAsia="Times New Roman"/>
          <w:b w:val="0"/>
          <w:i w:val="0"/>
          <w:sz w:val="21"/>
        </w:rPr>
        <w:t>Katılımcıların; 49'i (%43,4) Kesinlikle Katılıyorum, 16'ü (%14,2) Katılıyorum, 15'ü (%13,3) Kararsızım, 5'si (%4,4) Katılmıyorum ve 28'i (%24,8) Kesinlikle Katılmıyorum şeklinde görüş bildirmiştir. Bu maddeye geçerli yanıt veren katılımcı sayısı 113'tür.</w:t>
      </w:r>
    </w:p>
    <w:p>
      <w:r>
        <w:rPr>
          <w:rFonts w:ascii="Times New Roman" w:hAnsi="Times New Roman" w:eastAsia="Times New Roman"/>
          <w:b w:val="0"/>
          <w:i w:val="0"/>
          <w:sz w:val="21"/>
        </w:rPr>
        <w:t>Ortalama puanın 3,47/5,00 olması, olumlu görüş oranının %57,5, kararsız görüş oranının %13,3 ve olumsuz görüş oranının %29,2 düzeyinde gerçekleşmesi; Bu sonuç, ilgili maddede orta düzeyde bir değerlendirme bulunduğunu ve bu alanın geliştirmeye açık olduğunu göstermektedir.</w:t>
      </w:r>
    </w:p>
    <w:tbl>
      <w:tblPr>
        <w:tblStyle w:val="TableGrid"/>
        <w:tblW w:type="auto" w:w="0"/>
        <w:jc w:val="center"/>
        <w:tblLook w:firstColumn="1" w:firstRow="1" w:lastColumn="0" w:lastRow="0" w:noHBand="0" w:noVBand="1" w:val="04A0"/>
      </w:tblPr>
      <w:tblGrid>
        <w:gridCol w:w="3249"/>
        <w:gridCol w:w="3249"/>
        <w:gridCol w:w="3249"/>
      </w:tblGrid>
      <w:tr>
        <w:trPr>
          <w:cantSplit/>
        </w:trPr>
        <w:tc>
          <w:tcPr>
            <w:tcW w:type="dxa" w:w="4535"/>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Seçenek</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Frekans</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Oran</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 = Kesinlikle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49</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%43,4</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 =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16</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%14,2</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 = Kararsızım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15</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%13,3</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 =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%4,4</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 = Kesinlikle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28</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%24,8</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Ortalama</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3,47 / 5,00</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r>
          </w:p>
        </w:tc>
      </w:tr>
    </w:tbl>
    <w:p>
      <w:pPr>
        <w:spacing w:after="160"/>
        <w:jc w:val="center"/>
      </w:pPr>
      <w:r>
        <w:drawing>
          <wp:inline xmlns:a="http://schemas.openxmlformats.org/drawingml/2006/main" xmlns:pic="http://schemas.openxmlformats.org/drawingml/2006/picture">
            <wp:extent cx="5394960" cy="2445833"/>
            <wp:docPr id="21" name="Picture 21"/>
            <wp:cNvGraphicFramePr>
              <a:graphicFrameLocks noChangeAspect="1"/>
            </wp:cNvGraphicFramePr>
            <a:graphic>
              <a:graphicData uri="http://schemas.openxmlformats.org/drawingml/2006/picture">
                <pic:pic>
                  <pic:nvPicPr>
                    <pic:cNvPr id="0" name="madde_15.png"/>
                    <pic:cNvPicPr/>
                  </pic:nvPicPr>
                  <pic:blipFill>
                    <a:blip r:embed="rId30"/>
                    <a:stretch>
                      <a:fillRect/>
                    </a:stretch>
                  </pic:blipFill>
                  <pic:spPr>
                    <a:xfrm>
                      <a:off x="0" y="0"/>
                      <a:ext cx="5394960" cy="2445833"/>
                    </a:xfrm>
                    <a:prstGeom prst="rect"/>
                  </pic:spPr>
                </pic:pic>
              </a:graphicData>
            </a:graphic>
          </wp:inline>
        </w:drawing>
      </w:r>
    </w:p>
    <w:p>
      <w:pPr>
        <w:pStyle w:val="Heading3"/>
      </w:pPr>
      <w:r>
        <w:t>5.4.16. Madde 16’e İlişkin Bulgular</w:t>
      </w:r>
    </w:p>
    <w:p>
      <w:r>
        <w:rPr>
          <w:rFonts w:ascii="Times New Roman" w:hAnsi="Times New Roman" w:eastAsia="Times New Roman"/>
          <w:i/>
          <w:sz w:val="20"/>
        </w:rPr>
        <w:t>(Danışmanım akademik başarımı olumlu etkiler.)</w:t>
      </w:r>
    </w:p>
    <w:p>
      <w:r>
        <w:rPr>
          <w:rFonts w:ascii="Times New Roman" w:hAnsi="Times New Roman" w:eastAsia="Times New Roman"/>
          <w:b w:val="0"/>
          <w:i w:val="0"/>
          <w:sz w:val="21"/>
        </w:rPr>
        <w:t>Katılımcıların; 48'i (%42,5) Kesinlikle Katılıyorum, 17'ü (%15,0) Katılıyorum, 16'ü (%14,2) Kararsızım, 7'si (%6,2) Katılmıyorum ve 25'i (%22,1) Kesinlikle Katılmıyorum şeklinde görüş bildirmiştir. Bu maddeye geçerli yanıt veren katılımcı sayısı 113'tür.</w:t>
      </w:r>
    </w:p>
    <w:p>
      <w:r>
        <w:rPr>
          <w:rFonts w:ascii="Times New Roman" w:hAnsi="Times New Roman" w:eastAsia="Times New Roman"/>
          <w:b w:val="0"/>
          <w:i w:val="0"/>
          <w:sz w:val="21"/>
        </w:rPr>
        <w:t>Ortalama puanın 3,50/5,00 olması, olumlu görüş oranının %57,5, kararsız görüş oranının %14,2 ve olumsuz görüş oranının %28,3 düzeyinde gerçekleşmesi; Bu sonuç, ilgili maddede orta düzeyde bir değerlendirme bulunduğunu ve bu alanın geliştirmeye açık olduğunu göstermektedir.</w:t>
      </w:r>
    </w:p>
    <w:tbl>
      <w:tblPr>
        <w:tblStyle w:val="TableGrid"/>
        <w:tblW w:type="auto" w:w="0"/>
        <w:jc w:val="center"/>
        <w:tblLook w:firstColumn="1" w:firstRow="1" w:lastColumn="0" w:lastRow="0" w:noHBand="0" w:noVBand="1" w:val="04A0"/>
      </w:tblPr>
      <w:tblGrid>
        <w:gridCol w:w="3249"/>
        <w:gridCol w:w="3249"/>
        <w:gridCol w:w="3249"/>
      </w:tblGrid>
      <w:tr>
        <w:trPr>
          <w:cantSplit/>
        </w:trPr>
        <w:tc>
          <w:tcPr>
            <w:tcW w:type="dxa" w:w="4535"/>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Seçenek</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Frekans</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Oran</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 = Kesinlikle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48</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%42,5</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 =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17</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%15,0</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 = Kararsızım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16</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%14,2</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 =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7</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%6,2</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 = Kesinlikle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25</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%22,1</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Ortalama</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3,50 / 5,00</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r>
          </w:p>
        </w:tc>
      </w:tr>
    </w:tbl>
    <w:p>
      <w:pPr>
        <w:spacing w:after="160"/>
        <w:jc w:val="center"/>
      </w:pPr>
      <w:r>
        <w:drawing>
          <wp:inline xmlns:a="http://schemas.openxmlformats.org/drawingml/2006/main" xmlns:pic="http://schemas.openxmlformats.org/drawingml/2006/picture">
            <wp:extent cx="5394960" cy="2445833"/>
            <wp:docPr id="22" name="Picture 22"/>
            <wp:cNvGraphicFramePr>
              <a:graphicFrameLocks noChangeAspect="1"/>
            </wp:cNvGraphicFramePr>
            <a:graphic>
              <a:graphicData uri="http://schemas.openxmlformats.org/drawingml/2006/picture">
                <pic:pic>
                  <pic:nvPicPr>
                    <pic:cNvPr id="0" name="madde_16.png"/>
                    <pic:cNvPicPr/>
                  </pic:nvPicPr>
                  <pic:blipFill>
                    <a:blip r:embed="rId31"/>
                    <a:stretch>
                      <a:fillRect/>
                    </a:stretch>
                  </pic:blipFill>
                  <pic:spPr>
                    <a:xfrm>
                      <a:off x="0" y="0"/>
                      <a:ext cx="5394960" cy="2445833"/>
                    </a:xfrm>
                    <a:prstGeom prst="rect"/>
                  </pic:spPr>
                </pic:pic>
              </a:graphicData>
            </a:graphic>
          </wp:inline>
        </w:drawing>
      </w:r>
    </w:p>
    <w:p>
      <w:pPr>
        <w:pStyle w:val="Heading3"/>
      </w:pPr>
      <w:r>
        <w:t>5.4.17. Madde 17’e İlişkin Bulgular</w:t>
      </w:r>
    </w:p>
    <w:p>
      <w:r>
        <w:rPr>
          <w:rFonts w:ascii="Times New Roman" w:hAnsi="Times New Roman" w:eastAsia="Times New Roman"/>
          <w:i/>
          <w:sz w:val="20"/>
        </w:rPr>
        <w:t>(Danışmanımın danışmanlık hizmetinden memnunum.)</w:t>
      </w:r>
    </w:p>
    <w:p>
      <w:r>
        <w:rPr>
          <w:rFonts w:ascii="Times New Roman" w:hAnsi="Times New Roman" w:eastAsia="Times New Roman"/>
          <w:b w:val="0"/>
          <w:i w:val="0"/>
          <w:sz w:val="21"/>
        </w:rPr>
        <w:t>Katılımcıların; 55'i (%48,7) Kesinlikle Katılıyorum, 16'ü (%14,2) Katılıyorum, 8'ü (%7,1) Kararsızım, 7'si (%6,2) Katılmıyorum ve 27'i (%23,9) Kesinlikle Katılmıyorum şeklinde görüş bildirmiştir. Bu maddeye geçerli yanıt veren katılımcı sayısı 113'tür.</w:t>
      </w:r>
    </w:p>
    <w:p>
      <w:r>
        <w:rPr>
          <w:rFonts w:ascii="Times New Roman" w:hAnsi="Times New Roman" w:eastAsia="Times New Roman"/>
          <w:b w:val="0"/>
          <w:i w:val="0"/>
          <w:sz w:val="21"/>
        </w:rPr>
        <w:t>Ortalama puanın 3,58/5,00 olması, olumlu görüş oranının %62,8, kararsız görüş oranının %7,1 ve olumsuz görüş oranının %30,1 düzeyinde gerçekleşmesi; Bu sonuç, ilgili maddede genel eğilimin olumlu olduğunu; bununla birlikte kararsız ve olumsuz görüşlerin iyileştirme süreçlerinde dikkate alınması gerektiğini göstermektedir. Olumsuz görüş oranının belirgin düzeyde olması, bu başlıkta öğrenci beklentilerinin daha ayrıntılı izlenmesini gerekli kılmaktadır.</w:t>
      </w:r>
    </w:p>
    <w:tbl>
      <w:tblPr>
        <w:tblStyle w:val="TableGrid"/>
        <w:tblW w:type="auto" w:w="0"/>
        <w:jc w:val="center"/>
        <w:tblLook w:firstColumn="1" w:firstRow="1" w:lastColumn="0" w:lastRow="0" w:noHBand="0" w:noVBand="1" w:val="04A0"/>
      </w:tblPr>
      <w:tblGrid>
        <w:gridCol w:w="3249"/>
        <w:gridCol w:w="3249"/>
        <w:gridCol w:w="3249"/>
      </w:tblGrid>
      <w:tr>
        <w:trPr>
          <w:cantSplit/>
        </w:trPr>
        <w:tc>
          <w:tcPr>
            <w:tcW w:type="dxa" w:w="4535"/>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Seçenek</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Frekans</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Oran</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 = Kesinlikle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55</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%48,7</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 =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16</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%14,2</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 = Kararsızım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8</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%7,1</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 =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7</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%6,2</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 = Kesinlikle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27</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%23,9</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Ortalama</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3,58 / 5,00</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r>
          </w:p>
        </w:tc>
      </w:tr>
    </w:tbl>
    <w:p>
      <w:pPr>
        <w:spacing w:after="160"/>
        <w:jc w:val="center"/>
      </w:pPr>
      <w:r>
        <w:drawing>
          <wp:inline xmlns:a="http://schemas.openxmlformats.org/drawingml/2006/main" xmlns:pic="http://schemas.openxmlformats.org/drawingml/2006/picture">
            <wp:extent cx="5394960" cy="2445833"/>
            <wp:docPr id="23" name="Picture 23"/>
            <wp:cNvGraphicFramePr>
              <a:graphicFrameLocks noChangeAspect="1"/>
            </wp:cNvGraphicFramePr>
            <a:graphic>
              <a:graphicData uri="http://schemas.openxmlformats.org/drawingml/2006/picture">
                <pic:pic>
                  <pic:nvPicPr>
                    <pic:cNvPr id="0" name="madde_17.png"/>
                    <pic:cNvPicPr/>
                  </pic:nvPicPr>
                  <pic:blipFill>
                    <a:blip r:embed="rId32"/>
                    <a:stretch>
                      <a:fillRect/>
                    </a:stretch>
                  </pic:blipFill>
                  <pic:spPr>
                    <a:xfrm>
                      <a:off x="0" y="0"/>
                      <a:ext cx="5394960" cy="2445833"/>
                    </a:xfrm>
                    <a:prstGeom prst="rect"/>
                  </pic:spPr>
                </pic:pic>
              </a:graphicData>
            </a:graphic>
          </wp:inline>
        </w:drawing>
      </w:r>
    </w:p>
    <w:p>
      <w:pPr>
        <w:pStyle w:val="Heading2"/>
      </w:pPr>
      <w:r>
        <w:t>5.5. Açık Uçlu Görüş ve Önerilere İlişkin Bulgular</w:t>
      </w:r>
    </w:p>
    <w:p>
      <w:r>
        <w:rPr>
          <w:rFonts w:ascii="Times New Roman" w:hAnsi="Times New Roman" w:eastAsia="Times New Roman"/>
          <w:b w:val="0"/>
          <w:i w:val="0"/>
          <w:sz w:val="21"/>
        </w:rPr>
        <w:t>Açık uçlu görüş alanındaki 113 yanıt içerik açısından incelenmiştir. Yanıtların bir bölümünde herhangi bir öneri bulunmamakta, bir bölümünde ise teşekkür, memnuniyet, iletişim, kariyer planlama, staj/uygulama fırsatları, adalet ve öğrenciye yaklaşım gibi temalar öne çıkmaktadır.</w:t>
      </w:r>
    </w:p>
    <w:p>
      <w:r>
        <w:rPr>
          <w:rFonts w:ascii="Times New Roman" w:hAnsi="Times New Roman" w:eastAsia="Times New Roman"/>
          <w:b w:val="0"/>
          <w:i w:val="0"/>
          <w:sz w:val="21"/>
        </w:rPr>
        <w:t>Tematik sınıflandırmada bir yanıt birden fazla tema içerebildiği için tema frekansları toplam anlamlı yanıt sayısını aşabilmektedir. Buna göre en sık tekrar eden tema memnuniyet ve teşekkür ifadeleridir. Bunun yanında danışmanla iletişim sıklığının artırılması, öğrencinin görüşlerinin dikkate alınması, kariyer ve staj bilgilendirmesinin güçlendirilmesi ile daha adil, yapıcı ve destekleyici bir danışmanlık yaklaşımının sürdürülmesi gerektiği yönünde öneriler bulunmaktadır.</w:t>
      </w:r>
    </w:p>
    <w:tbl>
      <w:tblPr>
        <w:tblStyle w:val="TableGrid"/>
        <w:tblW w:type="auto" w:w="0"/>
        <w:jc w:val="center"/>
        <w:tblLook w:firstColumn="1" w:firstRow="1" w:lastColumn="0" w:lastRow="0" w:noHBand="0" w:noVBand="1" w:val="04A0"/>
      </w:tblPr>
      <w:tblGrid>
        <w:gridCol w:w="4873"/>
        <w:gridCol w:w="4873"/>
      </w:tblGrid>
      <w:tr>
        <w:trPr>
          <w:cantSplit/>
        </w:trPr>
        <w:tc>
          <w:tcPr>
            <w:tcW w:type="dxa" w:w="5669"/>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Tema</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Frekans</w:t>
            </w:r>
          </w:p>
        </w:tc>
      </w:tr>
      <w:tr>
        <w:trPr>
          <w:cantSplit/>
        </w:trPr>
        <w:tc>
          <w:tcPr>
            <w:tcW w:type="dxa" w:w="566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Memnuniyet ve teşekkür</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38</w:t>
            </w:r>
          </w:p>
        </w:tc>
      </w:tr>
      <w:tr>
        <w:trPr>
          <w:cantSplit/>
        </w:trPr>
        <w:tc>
          <w:tcPr>
            <w:tcW w:type="dxa" w:w="566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Diğer</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15</w:t>
            </w:r>
          </w:p>
        </w:tc>
      </w:tr>
      <w:tr>
        <w:trPr>
          <w:cantSplit/>
        </w:trPr>
        <w:tc>
          <w:tcPr>
            <w:tcW w:type="dxa" w:w="566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İletişim ve görüşme sıklığı</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9</w:t>
            </w:r>
          </w:p>
        </w:tc>
      </w:tr>
      <w:tr>
        <w:trPr>
          <w:cantSplit/>
        </w:trPr>
        <w:tc>
          <w:tcPr>
            <w:tcW w:type="dxa" w:w="566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Adalet, saygı ve öğrenciye yaklaşım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8</w:t>
            </w:r>
          </w:p>
        </w:tc>
      </w:tr>
      <w:tr>
        <w:trPr>
          <w:cantSplit/>
        </w:trPr>
        <w:tc>
          <w:tcPr>
            <w:tcW w:type="dxa" w:w="566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Ders, sınav ve klinik eğitim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8</w:t>
            </w:r>
          </w:p>
        </w:tc>
      </w:tr>
      <w:tr>
        <w:trPr>
          <w:cantSplit/>
        </w:trPr>
        <w:tc>
          <w:tcPr>
            <w:tcW w:type="dxa" w:w="566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Geri bildirimlerin dikkate alınması</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w:t>
            </w:r>
          </w:p>
        </w:tc>
      </w:tr>
      <w:tr>
        <w:trPr>
          <w:cantSplit/>
        </w:trPr>
        <w:tc>
          <w:tcPr>
            <w:tcW w:type="dxa" w:w="566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Kariyer, staj ve mesleki yönlendirme</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w:t>
            </w:r>
          </w:p>
        </w:tc>
      </w:tr>
    </w:tbl>
    <w:p>
      <w:pPr>
        <w:spacing w:after="160"/>
        <w:jc w:val="center"/>
      </w:pPr>
      <w:r>
        <w:drawing>
          <wp:inline xmlns:a="http://schemas.openxmlformats.org/drawingml/2006/main" xmlns:pic="http://schemas.openxmlformats.org/drawingml/2006/picture">
            <wp:extent cx="5669280" cy="3207147"/>
            <wp:docPr id="24" name="Picture 24"/>
            <wp:cNvGraphicFramePr>
              <a:graphicFrameLocks noChangeAspect="1"/>
            </wp:cNvGraphicFramePr>
            <a:graphic>
              <a:graphicData uri="http://schemas.openxmlformats.org/drawingml/2006/picture">
                <pic:pic>
                  <pic:nvPicPr>
                    <pic:cNvPr id="0" name="acik_uclu_temalar.png"/>
                    <pic:cNvPicPr/>
                  </pic:nvPicPr>
                  <pic:blipFill>
                    <a:blip r:embed="rId33"/>
                    <a:stretch>
                      <a:fillRect/>
                    </a:stretch>
                  </pic:blipFill>
                  <pic:spPr>
                    <a:xfrm>
                      <a:off x="0" y="0"/>
                      <a:ext cx="5669280" cy="3207147"/>
                    </a:xfrm>
                    <a:prstGeom prst="rect"/>
                  </pic:spPr>
                </pic:pic>
              </a:graphicData>
            </a:graphic>
          </wp:inline>
        </w:drawing>
      </w:r>
    </w:p>
    <w:p>
      <w:pPr>
        <w:pStyle w:val="Heading1"/>
      </w:pPr>
      <w:r>
        <w:t>6. Dikkat Kontrol Maddesine İlişkin Veri Kalitesi Değerlendirmesi</w:t>
      </w:r>
    </w:p>
    <w:p>
      <w:r>
        <w:rPr>
          <w:rFonts w:ascii="Times New Roman" w:hAnsi="Times New Roman" w:eastAsia="Times New Roman"/>
          <w:b w:val="0"/>
          <w:i w:val="0"/>
          <w:sz w:val="21"/>
        </w:rPr>
        <w:t>Ankette dikkat kontrolü amacıyla bir maddeye yer verilmiştir. Bu madde, danışmanlık hizmetinin niteliğini ölçmediği için genel ortalama ve madde bazlı memnuniyet analizlerine dahil edilmemiştir.</w:t>
      </w:r>
    </w:p>
    <w:p>
      <w:r>
        <w:rPr>
          <w:rFonts w:ascii="Times New Roman" w:hAnsi="Times New Roman" w:eastAsia="Times New Roman"/>
          <w:b w:val="0"/>
          <w:i w:val="0"/>
          <w:sz w:val="21"/>
        </w:rPr>
        <w:t>Dikkat kontrol maddesinde beklenen yanıt olan 'Katılıyorum' seçeneğini işaretleyen katılımcı sayısı 85 olup bu değer toplam katılımcıların %75,2'sine karşılık gelmektedir. Kontrol maddesinde farklı seçeneklerin işaretlenmiş olması, sonuçların yorumlanmasında veri kalitesi açısından dikkatli olunması gerektiğini göstermektedir; ancak genel eğilimlerin belirlenmesi için tüm yanıtlar bütüncül olarak değerlendirilmiştir.</w:t>
      </w:r>
    </w:p>
    <w:tbl>
      <w:tblPr>
        <w:tblStyle w:val="TableGrid"/>
        <w:tblW w:type="auto" w:w="0"/>
        <w:jc w:val="center"/>
        <w:tblLook w:firstColumn="1" w:firstRow="1" w:lastColumn="0" w:lastRow="0" w:noHBand="0" w:noVBand="1" w:val="04A0"/>
      </w:tblPr>
      <w:tblGrid>
        <w:gridCol w:w="3249"/>
        <w:gridCol w:w="3249"/>
        <w:gridCol w:w="3249"/>
      </w:tblGrid>
      <w:tr>
        <w:trPr>
          <w:cantSplit/>
        </w:trPr>
        <w:tc>
          <w:tcPr>
            <w:tcW w:type="dxa" w:w="4535"/>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Seçenek</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Frekans</w:t>
            </w:r>
          </w:p>
        </w:tc>
        <w:tc>
          <w:tcPr>
            <w:tcW w:type="dxa" w:w="2268"/>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Oran</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 = Kesinlikle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25</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%22,1</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 = Katılıyorum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85</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%75,2</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 = Kararsızım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0</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%0,0</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 =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0</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%0,0</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 = Kesinlikle Katılmıyorum</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w:t>
            </w:r>
          </w:p>
        </w:tc>
        <w:tc>
          <w:tcPr>
            <w:tcW w:type="dxa" w:w="2268"/>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%2,7</w:t>
            </w:r>
          </w:p>
        </w:tc>
      </w:tr>
    </w:tbl>
    <w:p>
      <w:pPr>
        <w:spacing w:after="160"/>
        <w:jc w:val="center"/>
      </w:pPr>
      <w:r>
        <w:drawing>
          <wp:inline xmlns:a="http://schemas.openxmlformats.org/drawingml/2006/main" xmlns:pic="http://schemas.openxmlformats.org/drawingml/2006/picture">
            <wp:extent cx="5394960" cy="2678288"/>
            <wp:docPr id="25" name="Picture 25"/>
            <wp:cNvGraphicFramePr>
              <a:graphicFrameLocks noChangeAspect="1"/>
            </wp:cNvGraphicFramePr>
            <a:graphic>
              <a:graphicData uri="http://schemas.openxmlformats.org/drawingml/2006/picture">
                <pic:pic>
                  <pic:nvPicPr>
                    <pic:cNvPr id="0" name="dikkat_kontrol.png"/>
                    <pic:cNvPicPr/>
                  </pic:nvPicPr>
                  <pic:blipFill>
                    <a:blip r:embed="rId34"/>
                    <a:stretch>
                      <a:fillRect/>
                    </a:stretch>
                  </pic:blipFill>
                  <pic:spPr>
                    <a:xfrm>
                      <a:off x="0" y="0"/>
                      <a:ext cx="5394960" cy="2678288"/>
                    </a:xfrm>
                    <a:prstGeom prst="rect"/>
                  </pic:spPr>
                </pic:pic>
              </a:graphicData>
            </a:graphic>
          </wp:inline>
        </w:drawing>
      </w:r>
    </w:p>
    <w:p>
      <w:pPr>
        <w:pStyle w:val="Heading1"/>
      </w:pPr>
      <w:r>
        <w:t>7. Genel Değerlendirme</w:t>
      </w:r>
    </w:p>
    <w:p>
      <w:r>
        <w:rPr>
          <w:rFonts w:ascii="Times New Roman" w:hAnsi="Times New Roman" w:eastAsia="Times New Roman"/>
          <w:b w:val="0"/>
          <w:i w:val="0"/>
          <w:sz w:val="21"/>
        </w:rPr>
        <w:t>Öğretim elemanı / akademik danışmanlık değerlendirme anketi sonuçları genel olarak incelendiğinde, öğrencilerin danışmanlık hizmetlerine ilişkin algısının orta-yüksek düzeyde ve ağırlıklı olarak olumlu olduğu görülmektedir. Değerlendirme kapsamına alınan 17 maddenin genel ortalaması 3,56/5,00 olarak hesaplanmış, toplam olumlu görüş oranı %59,8 düzeyinde gerçekleşmiştir.</w:t>
      </w:r>
    </w:p>
    <w:p>
      <w:r>
        <w:rPr>
          <w:rFonts w:ascii="Times New Roman" w:hAnsi="Times New Roman" w:eastAsia="Times New Roman"/>
          <w:b w:val="0"/>
          <w:i w:val="0"/>
          <w:sz w:val="21"/>
        </w:rPr>
        <w:t>Bu sonuç, akademik danışmanlık sisteminin öğrenciler tarafından tamamen yetersiz görülmediğini; aksine ulaşılabilirlik, iletişim, öğrenciye yaklaşım ve tarafsızlık gibi temel danışmanlık işlevlerinin önemli ölçüde karşılandığını göstermektedir. Bununla birlikte olumsuz görüş oranının dikkate değer düzeyde olması, danışmanlık hizmetinin tüm öğrenciler açısından aynı etkililikte algılanmadığını ortaya koymaktadır.</w:t>
      </w:r>
    </w:p>
    <w:p>
      <w:r>
        <w:rPr>
          <w:rFonts w:ascii="Times New Roman" w:hAnsi="Times New Roman" w:eastAsia="Times New Roman"/>
          <w:b w:val="0"/>
          <w:i w:val="0"/>
          <w:sz w:val="21"/>
        </w:rPr>
        <w:t>Raporun genel bulguları üç temel iyileştirme eksenini öne çıkarmaktadır. Birincisi, danışmanlık görüşmelerinin daha düzenli ve görünür hale getirilmesidir. İkincisi, kariyer planlama, staj, uygulama fırsatları, mesleki etkinlikler ve sektörel gelişmeler hakkında bilgilendirme süreçlerinin güçlendirilmesidir. Üçüncüsü ise öğrenci görüşlerinin düzenli olarak izlenmesi, danışmanlık uygulamalarında iletişim standardının artırılması ve öğrencinin akademik/mesleki gelişimini destekleyen yapılandırılmış rehberlik faaliyetlerinin geliştirilmesidir.</w:t>
      </w:r>
    </w:p>
    <w:p>
      <w:r>
        <w:rPr>
          <w:rFonts w:ascii="Times New Roman" w:hAnsi="Times New Roman" w:eastAsia="Times New Roman"/>
          <w:b w:val="0"/>
          <w:i w:val="0"/>
          <w:sz w:val="21"/>
        </w:rPr>
        <w:t>Sonuç olarak, mevcut bulgular akademik danışmanlık sisteminin güçlü bir iletişim ve öğrenciye yaklaşım zemini bulunduğunu; ancak mesleki yönlendirme ve uygulama/staj bilgilendirmesi boyutlarında daha sistematik, planlı ve izlenebilir bir danışmanlık modeline ihtiyaç olduğunu göstermektedir.</w:t>
      </w:r>
    </w:p>
    <w:p>
      <w:pPr>
        <w:pStyle w:val="Heading1"/>
      </w:pPr>
      <w:r>
        <w:t>8. Ekler</w:t>
      </w:r>
    </w:p>
    <w:p>
      <w:pPr>
        <w:pStyle w:val="Heading2"/>
      </w:pPr>
      <w:r>
        <w:t>Ek 1. Genel Değerlendirme Özeti</w:t>
      </w:r>
    </w:p>
    <w:tbl>
      <w:tblPr>
        <w:tblStyle w:val="TableGrid"/>
        <w:tblW w:type="auto" w:w="0"/>
        <w:jc w:val="center"/>
        <w:tblLook w:firstColumn="1" w:firstRow="1" w:lastColumn="0" w:lastRow="0" w:noHBand="0" w:noVBand="1" w:val="04A0"/>
      </w:tblPr>
      <w:tblGrid>
        <w:gridCol w:w="4873"/>
        <w:gridCol w:w="4873"/>
      </w:tblGrid>
      <w:tr>
        <w:trPr>
          <w:cantSplit/>
        </w:trPr>
        <w:tc>
          <w:tcPr>
            <w:tcW w:type="dxa" w:w="4535"/>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Gösterge</w:t>
            </w:r>
          </w:p>
        </w:tc>
        <w:tc>
          <w:tcPr>
            <w:tcW w:type="dxa" w:w="3402"/>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Değer</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Toplam Katılımcı Sayısı</w:t>
            </w:r>
          </w:p>
        </w:tc>
        <w:tc>
          <w:tcPr>
            <w:tcW w:type="dxa" w:w="3402"/>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113</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Değerlendirilen Madde Sayısı</w:t>
            </w:r>
          </w:p>
        </w:tc>
        <w:tc>
          <w:tcPr>
            <w:tcW w:type="dxa" w:w="3402"/>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17</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Dikkat Kontrol Maddesi</w:t>
            </w:r>
          </w:p>
        </w:tc>
        <w:tc>
          <w:tcPr>
            <w:tcW w:type="dxa" w:w="3402"/>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Genel ortalamaya dahil edilmedi</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Açık Uçlu Görüş Alanı</w:t>
            </w:r>
          </w:p>
        </w:tc>
        <w:tc>
          <w:tcPr>
            <w:tcW w:type="dxa" w:w="3402"/>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İçerik analiziyle tematik değerlendirildi</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Genel Ortalama</w:t>
            </w:r>
          </w:p>
        </w:tc>
        <w:tc>
          <w:tcPr>
            <w:tcW w:type="dxa" w:w="3402"/>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3,56 / 5,00</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Olumlu Görüş Oranı</w:t>
            </w:r>
          </w:p>
        </w:tc>
        <w:tc>
          <w:tcPr>
            <w:tcW w:type="dxa" w:w="3402"/>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%59,8</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Kararsız Görüş Oranı</w:t>
            </w:r>
          </w:p>
        </w:tc>
        <w:tc>
          <w:tcPr>
            <w:tcW w:type="dxa" w:w="3402"/>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%11,7</w:t>
            </w:r>
          </w:p>
        </w:tc>
      </w:tr>
      <w:tr>
        <w:trPr>
          <w:cantSplit/>
        </w:trPr>
        <w:tc>
          <w:tcPr>
            <w:tcW w:type="dxa" w:w="4535"/>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Olumsuz Görüş Oranı</w:t>
            </w:r>
          </w:p>
        </w:tc>
        <w:tc>
          <w:tcPr>
            <w:tcW w:type="dxa" w:w="3402"/>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%28,5</w:t>
            </w:r>
          </w:p>
        </w:tc>
      </w:tr>
    </w:tbl>
    <w:p>
      <w:pPr>
        <w:pStyle w:val="Heading2"/>
      </w:pPr>
      <w:r>
        <w:t>Ek 2. Boyutlara Göre Genel Sonuçlar</w:t>
      </w:r>
    </w:p>
    <w:tbl>
      <w:tblPr>
        <w:tblStyle w:val="TableGrid"/>
        <w:tblW w:type="auto" w:w="0"/>
        <w:jc w:val="center"/>
        <w:tblLook w:firstColumn="1" w:firstRow="1" w:lastColumn="0" w:lastRow="0" w:noHBand="0" w:noVBand="1" w:val="04A0"/>
      </w:tblPr>
      <w:tblGrid>
        <w:gridCol w:w="1949"/>
        <w:gridCol w:w="1949"/>
        <w:gridCol w:w="1949"/>
        <w:gridCol w:w="1949"/>
        <w:gridCol w:w="1949"/>
      </w:tblGrid>
      <w:tr>
        <w:trPr>
          <w:cantSplit/>
        </w:trPr>
        <w:tc>
          <w:tcPr>
            <w:tcW w:type="dxa" w:w="3969"/>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Boyut</w:t>
            </w:r>
          </w:p>
        </w:tc>
        <w:tc>
          <w:tcPr>
            <w:tcW w:type="dxa" w:w="1304"/>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Ortalama</w:t>
            </w:r>
          </w:p>
        </w:tc>
        <w:tc>
          <w:tcPr>
            <w:tcW w:type="dxa" w:w="1304"/>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Olumlu</w:t>
            </w:r>
          </w:p>
        </w:tc>
        <w:tc>
          <w:tcPr>
            <w:tcW w:type="dxa" w:w="1304"/>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Kararsız</w:t>
            </w:r>
          </w:p>
        </w:tc>
        <w:tc>
          <w:tcPr>
            <w:tcW w:type="dxa" w:w="1304"/>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Olumsuz</w:t>
            </w:r>
          </w:p>
        </w:tc>
      </w:tr>
      <w:tr>
        <w:trPr>
          <w:cantSplit/>
        </w:trPr>
        <w:tc>
          <w:tcPr>
            <w:tcW w:type="dxa" w:w="396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İletişim ve erişilebilirlik</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3,68</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%61,7</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%14,2</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%24,2</w:t>
            </w:r>
          </w:p>
        </w:tc>
      </w:tr>
      <w:tr>
        <w:trPr>
          <w:cantSplit/>
        </w:trPr>
        <w:tc>
          <w:tcPr>
            <w:tcW w:type="dxa" w:w="396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Akademik yönlendirme ve destek</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3,57</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%59,0</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%13,0</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%28,0</w:t>
            </w:r>
          </w:p>
        </w:tc>
      </w:tr>
      <w:tr>
        <w:trPr>
          <w:cantSplit/>
        </w:trPr>
        <w:tc>
          <w:tcPr>
            <w:tcW w:type="dxa" w:w="396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Mesleki gelişim, staj ve etkinlik bilgilendirmesi</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3,31</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%53,1</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%11,9</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%35,0</w:t>
            </w:r>
          </w:p>
        </w:tc>
      </w:tr>
      <w:tr>
        <w:trPr>
          <w:cantSplit/>
        </w:trPr>
        <w:tc>
          <w:tcPr>
            <w:tcW w:type="dxa" w:w="396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Öğrenciye yaklaşım ve tutum</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3,73</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%66,2</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%8,6</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%25,2</w:t>
            </w:r>
          </w:p>
        </w:tc>
      </w:tr>
      <w:tr>
        <w:trPr>
          <w:cantSplit/>
        </w:trPr>
        <w:tc>
          <w:tcPr>
            <w:tcW w:type="dxa" w:w="396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Genel memnuniyet ve akademik katkı</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3,51</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%59,3</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%11,5</w:t>
            </w:r>
          </w:p>
        </w:tc>
        <w:tc>
          <w:tcPr>
            <w:tcW w:type="dxa" w:w="130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%29,2</w:t>
            </w:r>
          </w:p>
        </w:tc>
      </w:tr>
    </w:tbl>
    <w:p>
      <w:pPr>
        <w:pStyle w:val="Heading2"/>
      </w:pPr>
      <w:r>
        <w:t>Ek 3. Madde Bazında Ortalama Puanlar</w:t>
      </w:r>
    </w:p>
    <w:tbl>
      <w:tblPr>
        <w:tblStyle w:val="TableGrid"/>
        <w:tblW w:type="auto" w:w="0"/>
        <w:jc w:val="center"/>
        <w:tblLook w:firstColumn="1" w:firstRow="1" w:lastColumn="0" w:lastRow="0" w:noHBand="0" w:noVBand="1" w:val="04A0"/>
      </w:tblPr>
      <w:tblGrid>
        <w:gridCol w:w="1624"/>
        <w:gridCol w:w="1624"/>
        <w:gridCol w:w="1624"/>
        <w:gridCol w:w="1624"/>
        <w:gridCol w:w="1624"/>
        <w:gridCol w:w="1624"/>
      </w:tblGrid>
      <w:tr>
        <w:trPr>
          <w:cantSplit/>
        </w:trPr>
        <w:tc>
          <w:tcPr>
            <w:tcW w:type="dxa" w:w="680"/>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No</w:t>
            </w:r>
          </w:p>
        </w:tc>
        <w:tc>
          <w:tcPr>
            <w:tcW w:type="dxa" w:w="4819"/>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Madde</w:t>
            </w:r>
          </w:p>
        </w:tc>
        <w:tc>
          <w:tcPr>
            <w:tcW w:type="dxa" w:w="1134"/>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Ortalama</w:t>
            </w:r>
          </w:p>
        </w:tc>
        <w:tc>
          <w:tcPr>
            <w:tcW w:type="dxa" w:w="1134"/>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Olumlu</w:t>
            </w:r>
          </w:p>
        </w:tc>
        <w:tc>
          <w:tcPr>
            <w:tcW w:type="dxa" w:w="1134"/>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Kararsız</w:t>
            </w:r>
          </w:p>
        </w:tc>
        <w:tc>
          <w:tcPr>
            <w:tcW w:type="dxa" w:w="1134"/>
            <w:vAlign w:val="center"/>
            <w:tcBorders>
              <w:top w:val="single" w:sz="4" w:color="888888"/>
              <w:start w:val="single" w:sz="4" w:color="888888"/>
              <w:bottom w:val="single" w:sz="4" w:color="888888"/>
              <w:end w:val="single" w:sz="4" w:color="888888"/>
            </w:tcBorders>
            <w:shd w:fill="D9EAF7"/>
          </w:tcPr>
          <w:p>
            <w:pPr>
              <w:spacing w:after="0"/>
            </w:pPr>
            <w:r>
              <w:rPr>
                <w:rFonts w:ascii="Times New Roman" w:hAnsi="Times New Roman" w:eastAsia="Times New Roman"/>
                <w:b/>
                <w:sz w:val="18"/>
              </w:rPr>
              <w:t>Olumsuz</w:t>
            </w:r>
          </w:p>
        </w:tc>
      </w:tr>
      <w:tr>
        <w:trPr>
          <w:cantSplit/>
        </w:trPr>
        <w:tc>
          <w:tcPr>
            <w:tcW w:type="dxa" w:w="680"/>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M1</w:t>
            </w:r>
          </w:p>
        </w:tc>
        <w:tc>
          <w:tcPr>
            <w:tcW w:type="dxa" w:w="481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Akademik danışmanım ihtiyaç duyduğumda kolayca ulaşılabilirdir.</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3,80</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%62,8</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%19,5</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%17,7</w:t>
            </w:r>
          </w:p>
        </w:tc>
      </w:tr>
      <w:tr>
        <w:trPr>
          <w:cantSplit/>
        </w:trPr>
        <w:tc>
          <w:tcPr>
            <w:tcW w:type="dxa" w:w="680"/>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M2</w:t>
            </w:r>
          </w:p>
        </w:tc>
        <w:tc>
          <w:tcPr>
            <w:tcW w:type="dxa" w:w="481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Danışmanım öğrenci görüşmelerine yeterli zaman ayırır.</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3,58</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%60,2</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%12,4</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%27,4</w:t>
            </w:r>
          </w:p>
        </w:tc>
      </w:tr>
      <w:tr>
        <w:trPr>
          <w:cantSplit/>
        </w:trPr>
        <w:tc>
          <w:tcPr>
            <w:tcW w:type="dxa" w:w="680"/>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M3</w:t>
            </w:r>
          </w:p>
        </w:tc>
        <w:tc>
          <w:tcPr>
            <w:tcW w:type="dxa" w:w="481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Danışmanım iletişimde açık ve anlaşılırdır.</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3,65</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%61,9</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%10,6</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%27,4</w:t>
            </w:r>
          </w:p>
        </w:tc>
      </w:tr>
      <w:tr>
        <w:trPr>
          <w:cantSplit/>
        </w:trPr>
        <w:tc>
          <w:tcPr>
            <w:tcW w:type="dxa" w:w="680"/>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M4</w:t>
            </w:r>
          </w:p>
        </w:tc>
        <w:tc>
          <w:tcPr>
            <w:tcW w:type="dxa" w:w="481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Ders seçimi konusunda yeterli yönlendirme yapar.</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3,68</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%61,9</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%12,4</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%25,7</w:t>
            </w:r>
          </w:p>
        </w:tc>
      </w:tr>
      <w:tr>
        <w:trPr>
          <w:cantSplit/>
        </w:trPr>
        <w:tc>
          <w:tcPr>
            <w:tcW w:type="dxa" w:w="680"/>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M5</w:t>
            </w:r>
          </w:p>
        </w:tc>
        <w:tc>
          <w:tcPr>
            <w:tcW w:type="dxa" w:w="481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Akademik planlama konusunda yardımcı olur.</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3,50</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%56,6</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%15,9</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%27,4</w:t>
            </w:r>
          </w:p>
        </w:tc>
      </w:tr>
      <w:tr>
        <w:trPr>
          <w:cantSplit/>
        </w:trPr>
        <w:tc>
          <w:tcPr>
            <w:tcW w:type="dxa" w:w="680"/>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M6</w:t>
            </w:r>
          </w:p>
        </w:tc>
        <w:tc>
          <w:tcPr>
            <w:tcW w:type="dxa" w:w="481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Akademik sorunlarımı çözmede destek sağlar.</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3,54</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%58,4</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%10,6</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%31,0</w:t>
            </w:r>
          </w:p>
        </w:tc>
      </w:tr>
      <w:tr>
        <w:trPr>
          <w:cantSplit/>
        </w:trPr>
        <w:tc>
          <w:tcPr>
            <w:tcW w:type="dxa" w:w="680"/>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M7</w:t>
            </w:r>
          </w:p>
        </w:tc>
        <w:tc>
          <w:tcPr>
            <w:tcW w:type="dxa" w:w="481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Alanımla ilgili gelişmeler hakkında bilgilendirir.</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3,39</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%52,2</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%15,0</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%32,7</w:t>
            </w:r>
          </w:p>
        </w:tc>
      </w:tr>
      <w:tr>
        <w:trPr>
          <w:cantSplit/>
        </w:trPr>
        <w:tc>
          <w:tcPr>
            <w:tcW w:type="dxa" w:w="680"/>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M8</w:t>
            </w:r>
          </w:p>
        </w:tc>
        <w:tc>
          <w:tcPr>
            <w:tcW w:type="dxa" w:w="481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Mesleki gelişimim konusunda yol gösterir.</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3,41</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%57,5</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%8,0</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%34,5</w:t>
            </w:r>
          </w:p>
        </w:tc>
      </w:tr>
      <w:tr>
        <w:trPr>
          <w:cantSplit/>
        </w:trPr>
        <w:tc>
          <w:tcPr>
            <w:tcW w:type="dxa" w:w="680"/>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M9</w:t>
            </w:r>
          </w:p>
        </w:tc>
        <w:tc>
          <w:tcPr>
            <w:tcW w:type="dxa" w:w="481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Staj ve uygulama fırsatları hakkında bilgilendirir.</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3,12</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%48,7</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%14,2</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%37,2</w:t>
            </w:r>
          </w:p>
        </w:tc>
      </w:tr>
      <w:tr>
        <w:trPr>
          <w:cantSplit/>
        </w:trPr>
        <w:tc>
          <w:tcPr>
            <w:tcW w:type="dxa" w:w="680"/>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M10</w:t>
            </w:r>
          </w:p>
        </w:tc>
        <w:tc>
          <w:tcPr>
            <w:tcW w:type="dxa" w:w="481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Mesleki etkinlikler hakkında bilgi verir.</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3,31</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%54,0</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%10,6</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%35,4</w:t>
            </w:r>
          </w:p>
        </w:tc>
      </w:tr>
      <w:tr>
        <w:trPr>
          <w:cantSplit/>
        </w:trPr>
        <w:tc>
          <w:tcPr>
            <w:tcW w:type="dxa" w:w="680"/>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M11</w:t>
            </w:r>
          </w:p>
        </w:tc>
        <w:tc>
          <w:tcPr>
            <w:tcW w:type="dxa" w:w="481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Öğrencilere karşı saygılı ve anlayışlıdır.</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3,94</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%71,7</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%6,2</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%22,1</w:t>
            </w:r>
          </w:p>
        </w:tc>
      </w:tr>
      <w:tr>
        <w:trPr>
          <w:cantSplit/>
        </w:trPr>
        <w:tc>
          <w:tcPr>
            <w:tcW w:type="dxa" w:w="680"/>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M12</w:t>
            </w:r>
          </w:p>
        </w:tc>
        <w:tc>
          <w:tcPr>
            <w:tcW w:type="dxa" w:w="481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Tarafsız ve adil davranır.</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3,76</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%68,1</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%9,7</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%22,1</w:t>
            </w:r>
          </w:p>
        </w:tc>
      </w:tr>
      <w:tr>
        <w:trPr>
          <w:cantSplit/>
        </w:trPr>
        <w:tc>
          <w:tcPr>
            <w:tcW w:type="dxa" w:w="680"/>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M13</w:t>
            </w:r>
          </w:p>
        </w:tc>
        <w:tc>
          <w:tcPr>
            <w:tcW w:type="dxa" w:w="481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Öğrenci sorunlarına duyarlıdır.</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3,65</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%63,7</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%8,8</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%27,4</w:t>
            </w:r>
          </w:p>
        </w:tc>
      </w:tr>
      <w:tr>
        <w:trPr>
          <w:cantSplit/>
        </w:trPr>
        <w:tc>
          <w:tcPr>
            <w:tcW w:type="dxa" w:w="680"/>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M14</w:t>
            </w:r>
          </w:p>
        </w:tc>
        <w:tc>
          <w:tcPr>
            <w:tcW w:type="dxa" w:w="481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Motive edici ve destekleyicidir.</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3,58</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%61,1</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%9,7</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%29,2</w:t>
            </w:r>
          </w:p>
        </w:tc>
      </w:tr>
      <w:tr>
        <w:trPr>
          <w:cantSplit/>
        </w:trPr>
        <w:tc>
          <w:tcPr>
            <w:tcW w:type="dxa" w:w="680"/>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M15</w:t>
            </w:r>
          </w:p>
        </w:tc>
        <w:tc>
          <w:tcPr>
            <w:tcW w:type="dxa" w:w="481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Danışmanlık süreci beklentilerimi karşılar.</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3,47</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%57,5</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%13,3</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%29,2</w:t>
            </w:r>
          </w:p>
        </w:tc>
      </w:tr>
      <w:tr>
        <w:trPr>
          <w:cantSplit/>
        </w:trPr>
        <w:tc>
          <w:tcPr>
            <w:tcW w:type="dxa" w:w="680"/>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M16</w:t>
            </w:r>
          </w:p>
        </w:tc>
        <w:tc>
          <w:tcPr>
            <w:tcW w:type="dxa" w:w="481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Danışmanım akademik başarımı olumlu etkiler.</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3,50</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%57,5</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%14,2</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%28,3</w:t>
            </w:r>
          </w:p>
        </w:tc>
      </w:tr>
      <w:tr>
        <w:trPr>
          <w:cantSplit/>
        </w:trPr>
        <w:tc>
          <w:tcPr>
            <w:tcW w:type="dxa" w:w="680"/>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M17</w:t>
            </w:r>
          </w:p>
        </w:tc>
        <w:tc>
          <w:tcPr>
            <w:tcW w:type="dxa" w:w="4819"/>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Danışmanımın danışmanlık hizmetinden memnunum.</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3,58</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%62,8</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%7,1</w:t>
            </w:r>
          </w:p>
        </w:tc>
        <w:tc>
          <w:tcPr>
            <w:tcW w:type="dxa" w:w="1134"/>
            <w:vAlign w:val="center"/>
            <w:tcBorders>
              <w:top w:val="single" w:sz="4" w:color="888888"/>
              <w:start w:val="single" w:sz="4" w:color="888888"/>
              <w:bottom w:val="single" w:sz="4" w:color="888888"/>
              <w:end w:val="single" w:sz="4" w:color="888888"/>
            </w:tcBorders>
          </w:tcPr>
          <w:p>
            <w:pPr>
              <w:spacing w:after="0"/>
            </w:pPr>
            <w:r>
              <w:rPr>
                <w:rFonts w:ascii="Times New Roman" w:hAnsi="Times New Roman" w:eastAsia="Times New Roman"/>
                <w:sz w:val="18"/>
              </w:rPr>
              <w:t>%30,1</w:t>
            </w:r>
          </w:p>
        </w:tc>
      </w:tr>
    </w:tbl>
    <w:p>
      <w:pPr>
        <w:pStyle w:val="Heading2"/>
      </w:pPr>
      <w:r>
        <w:t>Ek 4. Anket Maddeleri</w:t>
      </w:r>
    </w:p>
    <w:p>
      <w:r>
        <w:rPr>
          <w:rFonts w:ascii="Times New Roman" w:hAnsi="Times New Roman" w:eastAsia="Times New Roman"/>
          <w:b w:val="0"/>
          <w:i w:val="0"/>
          <w:sz w:val="21"/>
        </w:rPr>
        <w:t>Madde 1. Akademik danışmanım ihtiyaç duyduğumda kolayca ulaşılabilirdir.</w:t>
      </w:r>
    </w:p>
    <w:p>
      <w:r>
        <w:rPr>
          <w:rFonts w:ascii="Times New Roman" w:hAnsi="Times New Roman" w:eastAsia="Times New Roman"/>
          <w:b w:val="0"/>
          <w:i w:val="0"/>
          <w:sz w:val="21"/>
        </w:rPr>
        <w:t>Madde 2. Danışmanım öğrenci görüşmelerine yeterli zaman ayırır.</w:t>
      </w:r>
    </w:p>
    <w:p>
      <w:r>
        <w:rPr>
          <w:rFonts w:ascii="Times New Roman" w:hAnsi="Times New Roman" w:eastAsia="Times New Roman"/>
          <w:b w:val="0"/>
          <w:i w:val="0"/>
          <w:sz w:val="21"/>
        </w:rPr>
        <w:t>Madde 3. Danışmanım iletişimde açık ve anlaşılırdır.</w:t>
      </w:r>
    </w:p>
    <w:p>
      <w:r>
        <w:rPr>
          <w:rFonts w:ascii="Times New Roman" w:hAnsi="Times New Roman" w:eastAsia="Times New Roman"/>
          <w:b w:val="0"/>
          <w:i w:val="0"/>
          <w:sz w:val="21"/>
        </w:rPr>
        <w:t>Madde 4. Ders seçimi konusunda yeterli yönlendirme yapar.</w:t>
      </w:r>
    </w:p>
    <w:p>
      <w:r>
        <w:rPr>
          <w:rFonts w:ascii="Times New Roman" w:hAnsi="Times New Roman" w:eastAsia="Times New Roman"/>
          <w:b w:val="0"/>
          <w:i w:val="0"/>
          <w:sz w:val="21"/>
        </w:rPr>
        <w:t>Madde 5. Akademik planlama konusunda yardımcı olur.</w:t>
      </w:r>
    </w:p>
    <w:p>
      <w:r>
        <w:rPr>
          <w:rFonts w:ascii="Times New Roman" w:hAnsi="Times New Roman" w:eastAsia="Times New Roman"/>
          <w:b w:val="0"/>
          <w:i w:val="0"/>
          <w:sz w:val="21"/>
        </w:rPr>
        <w:t>Madde 6. Akademik sorunlarımı çözmede destek sağlar.</w:t>
      </w:r>
    </w:p>
    <w:p>
      <w:r>
        <w:rPr>
          <w:rFonts w:ascii="Times New Roman" w:hAnsi="Times New Roman" w:eastAsia="Times New Roman"/>
          <w:b w:val="0"/>
          <w:i w:val="0"/>
          <w:sz w:val="21"/>
        </w:rPr>
        <w:t>Madde 7. Alanımla ilgili gelişmeler hakkında bilgilendirir.</w:t>
      </w:r>
    </w:p>
    <w:p>
      <w:r>
        <w:rPr>
          <w:rFonts w:ascii="Times New Roman" w:hAnsi="Times New Roman" w:eastAsia="Times New Roman"/>
          <w:b w:val="0"/>
          <w:i w:val="0"/>
          <w:sz w:val="21"/>
        </w:rPr>
        <w:t>Madde 8. Mesleki gelişimim konusunda yol gösterir.</w:t>
      </w:r>
    </w:p>
    <w:p>
      <w:r>
        <w:rPr>
          <w:rFonts w:ascii="Times New Roman" w:hAnsi="Times New Roman" w:eastAsia="Times New Roman"/>
          <w:b w:val="0"/>
          <w:i w:val="0"/>
          <w:sz w:val="21"/>
        </w:rPr>
        <w:t>Madde 9. Staj ve uygulama fırsatları hakkında bilgilendirir.</w:t>
      </w:r>
    </w:p>
    <w:p>
      <w:r>
        <w:rPr>
          <w:rFonts w:ascii="Times New Roman" w:hAnsi="Times New Roman" w:eastAsia="Times New Roman"/>
          <w:b w:val="0"/>
          <w:i w:val="0"/>
          <w:sz w:val="21"/>
        </w:rPr>
        <w:t>Madde 10. Mesleki etkinlikler hakkında bilgi verir.</w:t>
      </w:r>
    </w:p>
    <w:p>
      <w:r>
        <w:rPr>
          <w:rFonts w:ascii="Times New Roman" w:hAnsi="Times New Roman" w:eastAsia="Times New Roman"/>
          <w:b w:val="0"/>
          <w:i w:val="0"/>
          <w:sz w:val="21"/>
        </w:rPr>
        <w:t>Madde 11. Öğrencilere karşı saygılı ve anlayışlıdır.</w:t>
      </w:r>
    </w:p>
    <w:p>
      <w:r>
        <w:rPr>
          <w:rFonts w:ascii="Times New Roman" w:hAnsi="Times New Roman" w:eastAsia="Times New Roman"/>
          <w:b w:val="0"/>
          <w:i w:val="0"/>
          <w:sz w:val="21"/>
        </w:rPr>
        <w:t>Madde 12. Tarafsız ve adil davranır.</w:t>
      </w:r>
    </w:p>
    <w:p>
      <w:r>
        <w:rPr>
          <w:rFonts w:ascii="Times New Roman" w:hAnsi="Times New Roman" w:eastAsia="Times New Roman"/>
          <w:b w:val="0"/>
          <w:i w:val="0"/>
          <w:sz w:val="21"/>
        </w:rPr>
        <w:t>Madde 13. Öğrenci sorunlarına duyarlıdır.</w:t>
      </w:r>
    </w:p>
    <w:p>
      <w:r>
        <w:rPr>
          <w:rFonts w:ascii="Times New Roman" w:hAnsi="Times New Roman" w:eastAsia="Times New Roman"/>
          <w:b w:val="0"/>
          <w:i w:val="0"/>
          <w:sz w:val="21"/>
        </w:rPr>
        <w:t>Madde 14. Motive edici ve destekleyicidir.</w:t>
      </w:r>
    </w:p>
    <w:p>
      <w:r>
        <w:rPr>
          <w:rFonts w:ascii="Times New Roman" w:hAnsi="Times New Roman" w:eastAsia="Times New Roman"/>
          <w:b w:val="0"/>
          <w:i w:val="0"/>
          <w:sz w:val="21"/>
        </w:rPr>
        <w:t>Madde 15. Danışmanlık süreci beklentilerimi karşılar.</w:t>
      </w:r>
    </w:p>
    <w:p>
      <w:r>
        <w:rPr>
          <w:rFonts w:ascii="Times New Roman" w:hAnsi="Times New Roman" w:eastAsia="Times New Roman"/>
          <w:b w:val="0"/>
          <w:i w:val="0"/>
          <w:sz w:val="21"/>
        </w:rPr>
        <w:t>Madde 16. Danışmanım akademik başarımı olumlu etkiler.</w:t>
      </w:r>
    </w:p>
    <w:p>
      <w:r>
        <w:rPr>
          <w:rFonts w:ascii="Times New Roman" w:hAnsi="Times New Roman" w:eastAsia="Times New Roman"/>
          <w:b w:val="0"/>
          <w:i w:val="0"/>
          <w:sz w:val="21"/>
        </w:rPr>
        <w:t>Madde 17. Danışmanımın danışmanlık hizmetinden memnunum.</w:t>
      </w:r>
    </w:p>
    <w:p>
      <w:r>
        <w:rPr>
          <w:rFonts w:ascii="Times New Roman" w:hAnsi="Times New Roman" w:eastAsia="Times New Roman"/>
          <w:b w:val="0"/>
          <w:i w:val="0"/>
          <w:sz w:val="21"/>
        </w:rPr>
        <w:t>Dikkat kontrol maddesi: Bu soru dikkat kontrolü amacıyla hazırlanmıştır. Lütfen bu maddede “Katılıyorum” seçeneğini işaretleyiniz.</w:t>
      </w:r>
    </w:p>
    <w:p>
      <w:r>
        <w:rPr>
          <w:rFonts w:ascii="Times New Roman" w:hAnsi="Times New Roman" w:eastAsia="Times New Roman"/>
          <w:b w:val="0"/>
          <w:i w:val="0"/>
          <w:sz w:val="21"/>
        </w:rPr>
        <w:t>Açık uçlu soru: Diğer görüş ve önerileriniz?</w:t>
      </w:r>
    </w:p>
    <w:sectPr w:rsidR="00FC693F" w:rsidRPr="0006063C" w:rsidSect="00034616">
      <w:footerReference w:type="default" r:id="rId9"/>
      <w:pgSz w:w="12240" w:h="15840"/>
      <w:pgMar w:top="1247"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Times New Roman" w:hAnsi="Times New Roman" w:eastAsia="Times New Roman"/>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120"/>
      <w:outlineLvl w:val="0"/>
    </w:pPr>
    <w:rPr>
      <w:rFonts w:asciiTheme="majorHAnsi" w:eastAsiaTheme="majorEastAsia" w:hAnsiTheme="majorHAnsi" w:cstheme="majorBidi" w:ascii="Times New Roman" w:hAnsi="Times New Roman" w:eastAsia="Times New Roman"/>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160" w:after="120"/>
      <w:outlineLvl w:val="1"/>
    </w:pPr>
    <w:rPr>
      <w:rFonts w:asciiTheme="majorHAnsi" w:eastAsiaTheme="majorEastAsia" w:hAnsiTheme="majorHAnsi" w:cstheme="majorBidi" w:ascii="Times New Roman" w:hAnsi="Times New Roman" w:eastAsia="Times New Roman"/>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160" w:after="120"/>
      <w:outlineLvl w:val="2"/>
    </w:pPr>
    <w:rPr>
      <w:rFonts w:asciiTheme="majorHAnsi" w:eastAsiaTheme="majorEastAsia" w:hAnsiTheme="majorHAnsi" w:cstheme="majorBidi" w:ascii="Times New Roman" w:hAnsi="Times New Roman" w:eastAsia="Times New Roman"/>
      <w:b/>
      <w:bCs/>
      <w:color w:val="1F4E79"/>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20" w:line="240" w:lineRule="auto" w:before="160"/>
      <w:contextualSpacing/>
    </w:pPr>
    <w:rPr>
      <w:rFonts w:asciiTheme="majorHAnsi" w:eastAsiaTheme="majorEastAsia" w:hAnsiTheme="majorHAnsi" w:cstheme="majorBidi" w:ascii="Times New Roman" w:hAnsi="Times New Roman" w:eastAsia="Times New Roman"/>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