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jc w:val="center"/>
      </w:pPr>
      <w:r>
        <w:rPr>
          <w:rFonts w:ascii="Times New Roman" w:hAnsi="Times New Roman"/>
          <w:b/>
          <w:i w:val="0"/>
          <w:sz w:val="32"/>
        </w:rPr>
        <w:t>T.C.</w:t>
      </w:r>
    </w:p>
    <w:p>
      <w:pPr>
        <w:spacing w:after="120" w:line="276" w:lineRule="auto"/>
        <w:jc w:val="center"/>
      </w:pPr>
      <w:r>
        <w:rPr>
          <w:rFonts w:ascii="Times New Roman" w:hAnsi="Times New Roman"/>
          <w:b/>
          <w:i w:val="0"/>
          <w:sz w:val="32"/>
        </w:rPr>
        <w:t>SİİRT ÜNİVERSİTESİ</w:t>
      </w:r>
    </w:p>
    <w:p>
      <w:pPr>
        <w:spacing w:after="120" w:line="276" w:lineRule="auto"/>
        <w:jc w:val="center"/>
      </w:pPr>
      <w:r>
        <w:rPr>
          <w:rFonts w:ascii="Times New Roman" w:hAnsi="Times New Roman"/>
          <w:b/>
          <w:i w:val="0"/>
          <w:sz w:val="32"/>
        </w:rPr>
        <w:t>VETERİNER FAKÜLTESİ</w:t>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jc w:val="center"/>
      </w:pPr>
      <w:r>
        <w:rPr>
          <w:rFonts w:ascii="Times New Roman" w:hAnsi="Times New Roman"/>
          <w:b/>
          <w:i w:val="0"/>
          <w:sz w:val="36"/>
        </w:rPr>
        <w:t>ÖĞRETİM ELEMANI DEĞERLENDİRME ANKETİ</w:t>
      </w:r>
    </w:p>
    <w:p>
      <w:pPr>
        <w:spacing w:after="120" w:line="276" w:lineRule="auto"/>
        <w:jc w:val="center"/>
      </w:pPr>
      <w:r>
        <w:rPr>
          <w:rFonts w:ascii="Times New Roman" w:hAnsi="Times New Roman"/>
          <w:b/>
          <w:i w:val="0"/>
          <w:sz w:val="36"/>
        </w:rPr>
        <w:t>AYRINTILI DEĞERLENDİRME RAPORU</w:t>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pPr>
      <w:r>
        <w:rPr>
          <w:rFonts w:ascii="Times New Roman" w:hAnsi="Times New Roman"/>
          <w:b w:val="0"/>
          <w:i w:val="0"/>
          <w:sz w:val="22"/>
        </w:rPr>
      </w:r>
    </w:p>
    <w:p>
      <w:pPr>
        <w:spacing w:after="120" w:line="276" w:lineRule="auto"/>
        <w:jc w:val="center"/>
      </w:pPr>
      <w:r>
        <w:rPr>
          <w:rFonts w:ascii="Times New Roman" w:hAnsi="Times New Roman"/>
          <w:b/>
          <w:i w:val="0"/>
          <w:sz w:val="32"/>
        </w:rPr>
        <w:t>2026</w:t>
      </w:r>
    </w:p>
    <w:p>
      <w:pPr>
        <w:spacing w:after="120" w:line="276" w:lineRule="auto"/>
      </w:pPr>
      <w:r>
        <w:rPr>
          <w:rFonts w:ascii="Times New Roman" w:hAnsi="Times New Roman"/>
        </w:rPr>
        <w:br w:type="page"/>
      </w:r>
    </w:p>
    <w:p>
      <w:pPr>
        <w:pStyle w:val="Heading1"/>
        <w:spacing w:after="120" w:line="276" w:lineRule="auto"/>
      </w:pPr>
      <w:r>
        <w:rPr>
          <w:rFonts w:ascii="Times New Roman" w:hAnsi="Times New Roman"/>
        </w:rPr>
        <w:t>İçindekiler</w:t>
      </w:r>
    </w:p>
    <w:p>
      <w:pPr>
        <w:spacing w:after="120" w:line="276" w:lineRule="auto"/>
      </w:pPr>
      <w:r>
        <w:rPr>
          <w:rFonts w:ascii="Times New Roman" w:hAnsi="Times New Roman"/>
          <w:b w:val="0"/>
          <w:i w:val="0"/>
          <w:sz w:val="22"/>
        </w:rPr>
        <w:t>1. Giriş</w:t>
      </w:r>
    </w:p>
    <w:p>
      <w:pPr>
        <w:spacing w:after="120" w:line="276" w:lineRule="auto"/>
      </w:pPr>
      <w:r>
        <w:rPr>
          <w:rFonts w:ascii="Times New Roman" w:hAnsi="Times New Roman"/>
          <w:b w:val="0"/>
          <w:i w:val="0"/>
          <w:sz w:val="22"/>
        </w:rPr>
        <w:t>2. Değerlendirme Yöntemi</w:t>
      </w:r>
    </w:p>
    <w:p>
      <w:pPr>
        <w:spacing w:after="120" w:line="276" w:lineRule="auto"/>
      </w:pPr>
      <w:r>
        <w:rPr>
          <w:rFonts w:ascii="Times New Roman" w:hAnsi="Times New Roman"/>
          <w:b w:val="0"/>
          <w:i w:val="0"/>
          <w:sz w:val="22"/>
        </w:rPr>
        <w:t>3. Verilerin Analizi</w:t>
      </w:r>
    </w:p>
    <w:p>
      <w:pPr>
        <w:spacing w:after="120" w:line="276" w:lineRule="auto"/>
      </w:pPr>
      <w:r>
        <w:rPr>
          <w:rFonts w:ascii="Times New Roman" w:hAnsi="Times New Roman"/>
          <w:b w:val="0"/>
          <w:i w:val="0"/>
          <w:sz w:val="22"/>
        </w:rPr>
        <w:t>4. Anket Verilerinin Genel Dağılımı</w:t>
      </w:r>
    </w:p>
    <w:p>
      <w:pPr>
        <w:spacing w:after="120" w:line="276" w:lineRule="auto"/>
      </w:pPr>
      <w:r>
        <w:rPr>
          <w:rFonts w:ascii="Times New Roman" w:hAnsi="Times New Roman"/>
          <w:b w:val="0"/>
          <w:i w:val="0"/>
          <w:sz w:val="22"/>
        </w:rPr>
        <w:t>5. Öğretim Elemanı Değerlendirme Anketi Bulguları</w:t>
      </w:r>
    </w:p>
    <w:p>
      <w:pPr>
        <w:spacing w:after="120" w:line="276" w:lineRule="auto"/>
      </w:pPr>
      <w:r>
        <w:rPr>
          <w:rFonts w:ascii="Times New Roman" w:hAnsi="Times New Roman"/>
          <w:b w:val="0"/>
          <w:i w:val="0"/>
          <w:sz w:val="22"/>
        </w:rPr>
        <w:t>5.1. Planlama, Kaynak ve Çıktı Uyumu</w:t>
      </w:r>
    </w:p>
    <w:p>
      <w:pPr>
        <w:spacing w:after="120" w:line="276" w:lineRule="auto"/>
      </w:pPr>
      <w:r>
        <w:rPr>
          <w:rFonts w:ascii="Times New Roman" w:hAnsi="Times New Roman"/>
          <w:b w:val="0"/>
          <w:i w:val="0"/>
          <w:sz w:val="22"/>
        </w:rPr>
        <w:t>5.2. Derse Hazırlık ve Öğretim Süreci</w:t>
      </w:r>
    </w:p>
    <w:p>
      <w:pPr>
        <w:spacing w:after="120" w:line="276" w:lineRule="auto"/>
      </w:pPr>
      <w:r>
        <w:rPr>
          <w:rFonts w:ascii="Times New Roman" w:hAnsi="Times New Roman"/>
          <w:b w:val="0"/>
          <w:i w:val="0"/>
          <w:sz w:val="22"/>
        </w:rPr>
        <w:t>5.3. Uygulama, Etik ve Pratik Öğrenme Süreci</w:t>
      </w:r>
    </w:p>
    <w:p>
      <w:pPr>
        <w:spacing w:after="120" w:line="276" w:lineRule="auto"/>
      </w:pPr>
      <w:r>
        <w:rPr>
          <w:rFonts w:ascii="Times New Roman" w:hAnsi="Times New Roman"/>
          <w:b w:val="0"/>
          <w:i w:val="0"/>
          <w:sz w:val="22"/>
        </w:rPr>
        <w:t>5.4. İletişim, Ölçme-Değerlendirme ve Geri Bildirim</w:t>
      </w:r>
    </w:p>
    <w:p>
      <w:pPr>
        <w:spacing w:after="120" w:line="276" w:lineRule="auto"/>
      </w:pPr>
      <w:r>
        <w:rPr>
          <w:rFonts w:ascii="Times New Roman" w:hAnsi="Times New Roman"/>
          <w:b w:val="0"/>
          <w:i w:val="0"/>
          <w:sz w:val="22"/>
        </w:rPr>
        <w:t>5.5. Mesleki Katkı ve Genel Memnuniyet</w:t>
      </w:r>
    </w:p>
    <w:p>
      <w:pPr>
        <w:spacing w:after="120" w:line="276" w:lineRule="auto"/>
      </w:pPr>
      <w:r>
        <w:rPr>
          <w:rFonts w:ascii="Times New Roman" w:hAnsi="Times New Roman"/>
          <w:b w:val="0"/>
          <w:i w:val="0"/>
          <w:sz w:val="22"/>
        </w:rPr>
        <w:t>5.6. Açık Uçlu Görüş ve Öneriler</w:t>
      </w:r>
    </w:p>
    <w:p>
      <w:pPr>
        <w:spacing w:after="120" w:line="276" w:lineRule="auto"/>
      </w:pPr>
      <w:r>
        <w:rPr>
          <w:rFonts w:ascii="Times New Roman" w:hAnsi="Times New Roman"/>
          <w:b w:val="0"/>
          <w:i w:val="0"/>
          <w:sz w:val="22"/>
        </w:rPr>
        <w:t>6. Dikkat Kontrol Maddesine İlişkin Veri Kalitesi Değerlendirmesi</w:t>
      </w:r>
    </w:p>
    <w:p>
      <w:pPr>
        <w:spacing w:after="120" w:line="276" w:lineRule="auto"/>
      </w:pPr>
      <w:r>
        <w:rPr>
          <w:rFonts w:ascii="Times New Roman" w:hAnsi="Times New Roman"/>
          <w:b w:val="0"/>
          <w:i w:val="0"/>
          <w:sz w:val="22"/>
        </w:rPr>
        <w:t>7. Genel Değerlendirme</w:t>
      </w:r>
    </w:p>
    <w:p>
      <w:pPr>
        <w:spacing w:after="120" w:line="276" w:lineRule="auto"/>
      </w:pPr>
      <w:r>
        <w:rPr>
          <w:rFonts w:ascii="Times New Roman" w:hAnsi="Times New Roman"/>
          <w:b w:val="0"/>
          <w:i w:val="0"/>
          <w:sz w:val="22"/>
        </w:rPr>
        <w:t>8. Ekler</w:t>
      </w:r>
    </w:p>
    <w:p>
      <w:pPr>
        <w:spacing w:after="120" w:line="276" w:lineRule="auto"/>
      </w:pPr>
      <w:r>
        <w:rPr>
          <w:rFonts w:ascii="Times New Roman" w:hAnsi="Times New Roman"/>
        </w:rPr>
        <w:br w:type="page"/>
      </w:r>
    </w:p>
    <w:p>
      <w:pPr>
        <w:pStyle w:val="Heading1"/>
        <w:spacing w:after="120" w:line="276" w:lineRule="auto"/>
      </w:pPr>
      <w:r>
        <w:rPr>
          <w:rFonts w:ascii="Times New Roman" w:hAnsi="Times New Roman"/>
        </w:rPr>
        <w:t>1. Giriş</w:t>
      </w:r>
    </w:p>
    <w:p>
      <w:pPr>
        <w:spacing w:after="120" w:line="276" w:lineRule="auto"/>
      </w:pPr>
      <w:r>
        <w:rPr>
          <w:rFonts w:ascii="Times New Roman" w:hAnsi="Times New Roman"/>
          <w:b w:val="0"/>
          <w:i w:val="0"/>
          <w:sz w:val="22"/>
        </w:rPr>
        <w:t>Öğretim Elemanı Değerlendirme Anketi, öğrencilerin derslerin yürütülme süreci, öğretim elemanlarının ders hazırlığı, öğretim materyallerinin kullanımı, uygulama olanakları, öğrenciyle iletişim, ölçme-değerlendirme uygulamaları, geri bildirim mekanizmaları ve mesleki gelişime katkı konularındaki görüşlerini belirlemek amacıyla uygulanmıştır.</w:t>
      </w:r>
    </w:p>
    <w:p>
      <w:pPr>
        <w:spacing w:after="120" w:line="276" w:lineRule="auto"/>
      </w:pPr>
      <w:r>
        <w:rPr>
          <w:rFonts w:ascii="Times New Roman" w:hAnsi="Times New Roman"/>
          <w:b w:val="0"/>
          <w:i w:val="0"/>
          <w:sz w:val="22"/>
        </w:rPr>
        <w:t>Bu raporda her bir öğretim elemanı ayrı ayrı değerlendirilmemiş; veriler bütüncül olarak ele alınarak fakülte/program düzeyinde genel eğilimler ortaya konulmuştur. Böylece öğretim süreçlerinin güçlü yönleri ile geliştirilmesi gereken alanların belirlenmesi ve kalite güvencesi süreçlerine veri sağlanması hedeflenmiştir.</w:t>
      </w:r>
    </w:p>
    <w:p>
      <w:pPr>
        <w:spacing w:after="120" w:line="276" w:lineRule="auto"/>
      </w:pPr>
      <w:r>
        <w:rPr>
          <w:rFonts w:ascii="Times New Roman" w:hAnsi="Times New Roman"/>
          <w:b w:val="0"/>
          <w:i w:val="0"/>
          <w:sz w:val="22"/>
        </w:rPr>
        <w:t>Rapor, akademik personel anket raporundaki ayrıntılı madde bazlı değerlendirme yaklaşımı esas alınarak hazırlanmış; öğretim elemanı değerlendirme anketindeki her bir Likert maddesi frekans, yüzde, ortalama puan ve yorum düzeyinde ayrı ayrı analiz edilmiştir.</w:t>
      </w:r>
    </w:p>
    <w:p>
      <w:pPr>
        <w:pStyle w:val="Heading1"/>
        <w:spacing w:after="120" w:line="276" w:lineRule="auto"/>
      </w:pPr>
      <w:r>
        <w:rPr>
          <w:rFonts w:ascii="Times New Roman" w:hAnsi="Times New Roman"/>
        </w:rPr>
        <w:t>2. Değerlendirme Yöntemi</w:t>
      </w:r>
    </w:p>
    <w:p>
      <w:pPr>
        <w:spacing w:after="120" w:line="276" w:lineRule="auto"/>
      </w:pPr>
      <w:r>
        <w:rPr>
          <w:rFonts w:ascii="Times New Roman" w:hAnsi="Times New Roman"/>
          <w:b w:val="0"/>
          <w:i w:val="0"/>
          <w:sz w:val="22"/>
        </w:rPr>
        <w:t>Anket 5'li Likert ölçeği ile uygulanmıştır. Ölçekte 1 = Kesinlikle Katılmıyorum, 2 = Katılmıyorum, 3 = Kararsızım, 4 = Katılıyorum ve 5 = Kesinlikle Katılıyorum şeklinde puanlama yapılmıştır.</w:t>
      </w:r>
    </w:p>
    <w:p>
      <w:pPr>
        <w:spacing w:after="120" w:line="276" w:lineRule="auto"/>
      </w:pPr>
      <w:r>
        <w:rPr>
          <w:rFonts w:ascii="Times New Roman" w:hAnsi="Times New Roman"/>
          <w:b w:val="0"/>
          <w:i w:val="0"/>
          <w:sz w:val="22"/>
        </w:rPr>
        <w:t>Değerlendirme sürecinde 'Katılıyorum' ve 'Kesinlikle Katılıyorum' seçenekleri olumlu görüş; 'Kararsızım' seçeneği kararsız görüş; 'Katılmıyorum' ve 'Kesinlikle Katılmıyorum' seçenekleri ise olumsuz görüş olarak kabul edilmiştir.</w:t>
      </w:r>
    </w:p>
    <w:p>
      <w:pPr>
        <w:spacing w:after="120" w:line="276" w:lineRule="auto"/>
      </w:pPr>
      <w:r>
        <w:rPr>
          <w:rFonts w:ascii="Times New Roman" w:hAnsi="Times New Roman"/>
          <w:b w:val="0"/>
          <w:i w:val="0"/>
          <w:sz w:val="22"/>
        </w:rPr>
        <w:t>Veri setinde toplam 476 anket yanıtı bulunmaktadır. Anket içerisinde yer alan dikkat kontrolü maddesinde istenen yanıtı işaretlemeyen 77 kayıt analiz dışı bırakılmış; değerlendirme 399 geçerli yanıt üzerinden yürütülmüştür. Öğretim elemanı bazlı ayrı analiz yapılmamış, tüm geçerli yanıtlar bir araya getirilerek genel öğretim elemanı değerlendirme profili oluşturulmuştur.</w:t>
      </w:r>
    </w:p>
    <w:p>
      <w:pPr>
        <w:spacing w:after="120" w:line="276" w:lineRule="auto"/>
      </w:pPr>
      <w:r>
        <w:rPr>
          <w:rFonts w:ascii="Times New Roman" w:hAnsi="Times New Roman"/>
          <w:b w:val="0"/>
          <w:i w:val="0"/>
          <w:sz w:val="22"/>
        </w:rPr>
        <w:t>Her bir madde için frekans, yüzde, aritmetik ortalama, olumlu görüş oranı, kararsız görüş oranı ve olumsuz görüş oranı hesaplanmıştır. Açık uçlu yanıtlar içerik analizi yaklaşımıyla tematik olarak gruplandırılmıştır.</w:t>
      </w:r>
    </w:p>
    <w:p>
      <w:pPr>
        <w:pStyle w:val="Heading1"/>
        <w:spacing w:after="120" w:line="276" w:lineRule="auto"/>
      </w:pPr>
      <w:r>
        <w:rPr>
          <w:rFonts w:ascii="Times New Roman" w:hAnsi="Times New Roman"/>
        </w:rPr>
        <w:t>3. Verilerin Analizi</w:t>
      </w:r>
    </w:p>
    <w:p>
      <w:pPr>
        <w:spacing w:after="120" w:line="276" w:lineRule="auto"/>
      </w:pPr>
      <w:r>
        <w:rPr>
          <w:rFonts w:ascii="Times New Roman" w:hAnsi="Times New Roman"/>
          <w:b w:val="0"/>
          <w:i w:val="0"/>
          <w:sz w:val="22"/>
        </w:rPr>
        <w:t>Geçerli yanıtlar üzerinden yapılan analizde 21 değerlendirme maddesi için toplam 8379 Likert yanıtı incelenmiştir. Tüm maddeler birlikte değerlendirildiğinde genel ortalama 3,31/5,00 olarak hesaplanmıştır. Olumlu görüş oranı %55,1, kararsız görüş oranı %6,3 ve olumsuz görüş oranı %38,6 düzeyindedir.</w:t>
      </w:r>
    </w:p>
    <w:p>
      <w:pPr>
        <w:spacing w:after="120" w:line="276" w:lineRule="auto"/>
      </w:pPr>
      <w:r>
        <w:rPr>
          <w:rFonts w:ascii="Times New Roman" w:hAnsi="Times New Roman"/>
          <w:b w:val="0"/>
          <w:i w:val="0"/>
          <w:sz w:val="22"/>
        </w:rPr>
        <w:t>Bu sonuçlar, öğretim elemanı performansına ilişkin genel algının orta düzeyde ve kısmen olumlu bir eğilim taşıdığını; ancak özellikle uygulamalı eğitim, ölçme-değerlendirme, iletişim ve genel memnuniyet başlıklarında iyileştirme ihtiyacının devam ettiğini göstermektedir.</w:t>
      </w:r>
    </w:p>
    <w:tbl>
      <w:tblPr>
        <w:tblStyle w:val="TableGrid"/>
        <w:tblW w:type="auto" w:w="0"/>
        <w:jc w:val="center"/>
        <w:tblLook w:firstColumn="1" w:firstRow="1" w:lastColumn="0" w:lastRow="0" w:noHBand="0" w:noVBand="1" w:val="04A0"/>
      </w:tblPr>
      <w:tblGrid>
        <w:gridCol w:w="4703"/>
        <w:gridCol w:w="4703"/>
      </w:tblGrid>
      <w:tr>
        <w:tc>
          <w:tcPr>
            <w:tcW w:type="dxa" w:w="4535"/>
            <w:vAlign w:val="center"/>
            <w:shd w:fill="D9EAF7"/>
          </w:tcPr>
          <w:p>
            <w:pPr>
              <w:jc w:val="left"/>
            </w:pPr>
            <w:r/>
            <w:r>
              <w:rPr>
                <w:rFonts w:ascii="Times New Roman" w:hAnsi="Times New Roman"/>
                <w:b/>
                <w:sz w:val="18"/>
              </w:rPr>
              <w:t>Gösterge</w:t>
            </w:r>
          </w:p>
        </w:tc>
        <w:tc>
          <w:tcPr>
            <w:tcW w:type="dxa" w:w="3402"/>
            <w:vAlign w:val="center"/>
            <w:shd w:fill="D9EAF7"/>
          </w:tcPr>
          <w:p>
            <w:pPr>
              <w:jc w:val="center"/>
            </w:pPr>
            <w:r/>
            <w:r>
              <w:rPr>
                <w:rFonts w:ascii="Times New Roman" w:hAnsi="Times New Roman"/>
                <w:b/>
                <w:sz w:val="18"/>
              </w:rPr>
              <w:t>Değer</w:t>
            </w:r>
          </w:p>
        </w:tc>
      </w:tr>
      <w:tr>
        <w:tc>
          <w:tcPr>
            <w:tcW w:type="dxa" w:w="4535"/>
            <w:vAlign w:val="center"/>
          </w:tcPr>
          <w:p>
            <w:pPr>
              <w:jc w:val="left"/>
            </w:pPr>
            <w:r/>
            <w:r>
              <w:rPr>
                <w:rFonts w:ascii="Times New Roman" w:hAnsi="Times New Roman"/>
                <w:b w:val="0"/>
                <w:sz w:val="18"/>
              </w:rPr>
              <w:t>Toplam Anket Yanıtı</w:t>
            </w:r>
          </w:p>
        </w:tc>
        <w:tc>
          <w:tcPr>
            <w:tcW w:type="dxa" w:w="3402"/>
            <w:vAlign w:val="center"/>
          </w:tcPr>
          <w:p>
            <w:pPr>
              <w:jc w:val="center"/>
            </w:pPr>
            <w:r/>
            <w:r>
              <w:rPr>
                <w:rFonts w:ascii="Times New Roman" w:hAnsi="Times New Roman"/>
                <w:b w:val="0"/>
                <w:sz w:val="18"/>
              </w:rPr>
              <w:t>476</w:t>
            </w:r>
          </w:p>
        </w:tc>
      </w:tr>
      <w:tr>
        <w:tc>
          <w:tcPr>
            <w:tcW w:type="dxa" w:w="4535"/>
            <w:vAlign w:val="center"/>
          </w:tcPr>
          <w:p>
            <w:pPr>
              <w:jc w:val="left"/>
            </w:pPr>
            <w:r/>
            <w:r>
              <w:rPr>
                <w:rFonts w:ascii="Times New Roman" w:hAnsi="Times New Roman"/>
                <w:b w:val="0"/>
                <w:sz w:val="18"/>
              </w:rPr>
              <w:t>Dikkat Kontrolü Sonrası Geçerli Yanıt</w:t>
            </w:r>
          </w:p>
        </w:tc>
        <w:tc>
          <w:tcPr>
            <w:tcW w:type="dxa" w:w="3402"/>
            <w:vAlign w:val="center"/>
          </w:tcPr>
          <w:p>
            <w:pPr>
              <w:jc w:val="center"/>
            </w:pPr>
            <w:r/>
            <w:r>
              <w:rPr>
                <w:rFonts w:ascii="Times New Roman" w:hAnsi="Times New Roman"/>
                <w:b w:val="0"/>
                <w:sz w:val="18"/>
              </w:rPr>
              <w:t>399</w:t>
            </w:r>
          </w:p>
        </w:tc>
      </w:tr>
      <w:tr>
        <w:tc>
          <w:tcPr>
            <w:tcW w:type="dxa" w:w="4535"/>
            <w:vAlign w:val="center"/>
          </w:tcPr>
          <w:p>
            <w:pPr>
              <w:jc w:val="left"/>
            </w:pPr>
            <w:r/>
            <w:r>
              <w:rPr>
                <w:rFonts w:ascii="Times New Roman" w:hAnsi="Times New Roman"/>
                <w:b w:val="0"/>
                <w:sz w:val="18"/>
              </w:rPr>
              <w:t>Analiz Dışı Bırakılan Yanıt</w:t>
            </w:r>
          </w:p>
        </w:tc>
        <w:tc>
          <w:tcPr>
            <w:tcW w:type="dxa" w:w="3402"/>
            <w:vAlign w:val="center"/>
          </w:tcPr>
          <w:p>
            <w:pPr>
              <w:jc w:val="center"/>
            </w:pPr>
            <w:r/>
            <w:r>
              <w:rPr>
                <w:rFonts w:ascii="Times New Roman" w:hAnsi="Times New Roman"/>
                <w:b w:val="0"/>
                <w:sz w:val="18"/>
              </w:rPr>
              <w:t>77</w:t>
            </w:r>
          </w:p>
        </w:tc>
      </w:tr>
      <w:tr>
        <w:tc>
          <w:tcPr>
            <w:tcW w:type="dxa" w:w="4535"/>
            <w:vAlign w:val="center"/>
          </w:tcPr>
          <w:p>
            <w:pPr>
              <w:jc w:val="left"/>
            </w:pPr>
            <w:r/>
            <w:r>
              <w:rPr>
                <w:rFonts w:ascii="Times New Roman" w:hAnsi="Times New Roman"/>
                <w:b w:val="0"/>
                <w:sz w:val="18"/>
              </w:rPr>
              <w:t>Değerlendirilen Madde Sayısı</w:t>
            </w:r>
          </w:p>
        </w:tc>
        <w:tc>
          <w:tcPr>
            <w:tcW w:type="dxa" w:w="3402"/>
            <w:vAlign w:val="center"/>
          </w:tcPr>
          <w:p>
            <w:pPr>
              <w:jc w:val="center"/>
            </w:pPr>
            <w:r/>
            <w:r>
              <w:rPr>
                <w:rFonts w:ascii="Times New Roman" w:hAnsi="Times New Roman"/>
                <w:b w:val="0"/>
                <w:sz w:val="18"/>
              </w:rPr>
              <w:t>21</w:t>
            </w:r>
          </w:p>
        </w:tc>
      </w:tr>
      <w:tr>
        <w:tc>
          <w:tcPr>
            <w:tcW w:type="dxa" w:w="4535"/>
            <w:vAlign w:val="center"/>
          </w:tcPr>
          <w:p>
            <w:pPr>
              <w:jc w:val="left"/>
            </w:pPr>
            <w:r/>
            <w:r>
              <w:rPr>
                <w:rFonts w:ascii="Times New Roman" w:hAnsi="Times New Roman"/>
                <w:b w:val="0"/>
                <w:sz w:val="18"/>
              </w:rPr>
              <w:t>Toplam Likert Yanıtı</w:t>
            </w:r>
          </w:p>
        </w:tc>
        <w:tc>
          <w:tcPr>
            <w:tcW w:type="dxa" w:w="3402"/>
            <w:vAlign w:val="center"/>
          </w:tcPr>
          <w:p>
            <w:pPr>
              <w:jc w:val="center"/>
            </w:pPr>
            <w:r/>
            <w:r>
              <w:rPr>
                <w:rFonts w:ascii="Times New Roman" w:hAnsi="Times New Roman"/>
                <w:b w:val="0"/>
                <w:sz w:val="18"/>
              </w:rPr>
              <w:t>8379</w:t>
            </w:r>
          </w:p>
        </w:tc>
      </w:tr>
      <w:tr>
        <w:tc>
          <w:tcPr>
            <w:tcW w:type="dxa" w:w="4535"/>
            <w:vAlign w:val="center"/>
          </w:tcPr>
          <w:p>
            <w:pPr>
              <w:jc w:val="left"/>
            </w:pPr>
            <w:r/>
            <w:r>
              <w:rPr>
                <w:rFonts w:ascii="Times New Roman" w:hAnsi="Times New Roman"/>
                <w:b w:val="0"/>
                <w:sz w:val="18"/>
              </w:rPr>
              <w:t>Genel Ortalama</w:t>
            </w:r>
          </w:p>
        </w:tc>
        <w:tc>
          <w:tcPr>
            <w:tcW w:type="dxa" w:w="3402"/>
            <w:vAlign w:val="center"/>
          </w:tcPr>
          <w:p>
            <w:pPr>
              <w:jc w:val="center"/>
            </w:pPr>
            <w:r/>
            <w:r>
              <w:rPr>
                <w:rFonts w:ascii="Times New Roman" w:hAnsi="Times New Roman"/>
                <w:b w:val="0"/>
                <w:sz w:val="18"/>
              </w:rPr>
              <w:t>3,31 / 5,00</w:t>
            </w:r>
          </w:p>
        </w:tc>
      </w:tr>
      <w:tr>
        <w:tc>
          <w:tcPr>
            <w:tcW w:type="dxa" w:w="4535"/>
            <w:vAlign w:val="center"/>
          </w:tcPr>
          <w:p>
            <w:pPr>
              <w:jc w:val="left"/>
            </w:pPr>
            <w:r/>
            <w:r>
              <w:rPr>
                <w:rFonts w:ascii="Times New Roman" w:hAnsi="Times New Roman"/>
                <w:b w:val="0"/>
                <w:sz w:val="18"/>
              </w:rPr>
              <w:t>Olumlu Görüş Oranı</w:t>
            </w:r>
          </w:p>
        </w:tc>
        <w:tc>
          <w:tcPr>
            <w:tcW w:type="dxa" w:w="3402"/>
            <w:vAlign w:val="center"/>
          </w:tcPr>
          <w:p>
            <w:pPr>
              <w:jc w:val="center"/>
            </w:pPr>
            <w:r/>
            <w:r>
              <w:rPr>
                <w:rFonts w:ascii="Times New Roman" w:hAnsi="Times New Roman"/>
                <w:b w:val="0"/>
                <w:sz w:val="18"/>
              </w:rPr>
              <w:t>%55,1</w:t>
            </w:r>
          </w:p>
        </w:tc>
      </w:tr>
      <w:tr>
        <w:tc>
          <w:tcPr>
            <w:tcW w:type="dxa" w:w="4535"/>
            <w:vAlign w:val="center"/>
          </w:tcPr>
          <w:p>
            <w:pPr>
              <w:jc w:val="left"/>
            </w:pPr>
            <w:r/>
            <w:r>
              <w:rPr>
                <w:rFonts w:ascii="Times New Roman" w:hAnsi="Times New Roman"/>
                <w:b w:val="0"/>
                <w:sz w:val="18"/>
              </w:rPr>
              <w:t>Kararsız Görüş Oranı</w:t>
            </w:r>
          </w:p>
        </w:tc>
        <w:tc>
          <w:tcPr>
            <w:tcW w:type="dxa" w:w="3402"/>
            <w:vAlign w:val="center"/>
          </w:tcPr>
          <w:p>
            <w:pPr>
              <w:jc w:val="center"/>
            </w:pPr>
            <w:r/>
            <w:r>
              <w:rPr>
                <w:rFonts w:ascii="Times New Roman" w:hAnsi="Times New Roman"/>
                <w:b w:val="0"/>
                <w:sz w:val="18"/>
              </w:rPr>
              <w:t>%6,3</w:t>
            </w:r>
          </w:p>
        </w:tc>
      </w:tr>
      <w:tr>
        <w:tc>
          <w:tcPr>
            <w:tcW w:type="dxa" w:w="4535"/>
            <w:vAlign w:val="center"/>
          </w:tcPr>
          <w:p>
            <w:pPr>
              <w:jc w:val="left"/>
            </w:pPr>
            <w:r/>
            <w:r>
              <w:rPr>
                <w:rFonts w:ascii="Times New Roman" w:hAnsi="Times New Roman"/>
                <w:b w:val="0"/>
                <w:sz w:val="18"/>
              </w:rPr>
              <w:t>Olumsuz Görüş Oranı</w:t>
            </w:r>
          </w:p>
        </w:tc>
        <w:tc>
          <w:tcPr>
            <w:tcW w:type="dxa" w:w="3402"/>
            <w:vAlign w:val="center"/>
          </w:tcPr>
          <w:p>
            <w:pPr>
              <w:jc w:val="center"/>
            </w:pPr>
            <w:r/>
            <w:r>
              <w:rPr>
                <w:rFonts w:ascii="Times New Roman" w:hAnsi="Times New Roman"/>
                <w:b w:val="0"/>
                <w:sz w:val="18"/>
              </w:rPr>
              <w:t>%38,6</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943600" cy="2852928"/>
            <wp:docPr id="1" name="Picture 1"/>
            <wp:cNvGraphicFramePr>
              <a:graphicFrameLocks noChangeAspect="1"/>
            </wp:cNvGraphicFramePr>
            <a:graphic>
              <a:graphicData uri="http://schemas.openxmlformats.org/drawingml/2006/picture">
                <pic:pic>
                  <pic:nvPicPr>
                    <pic:cNvPr id="0" name="madde_ortalamalari.png"/>
                    <pic:cNvPicPr/>
                  </pic:nvPicPr>
                  <pic:blipFill>
                    <a:blip r:embed="rId10"/>
                    <a:stretch>
                      <a:fillRect/>
                    </a:stretch>
                  </pic:blipFill>
                  <pic:spPr>
                    <a:xfrm>
                      <a:off x="0" y="0"/>
                      <a:ext cx="5943600" cy="2852928"/>
                    </a:xfrm>
                    <a:prstGeom prst="rect"/>
                  </pic:spPr>
                </pic:pic>
              </a:graphicData>
            </a:graphic>
          </wp:inline>
        </w:drawing>
      </w:r>
    </w:p>
    <w:p>
      <w:pPr>
        <w:pStyle w:val="Heading1"/>
        <w:spacing w:after="120" w:line="276" w:lineRule="auto"/>
      </w:pPr>
      <w:r>
        <w:rPr>
          <w:rFonts w:ascii="Times New Roman" w:hAnsi="Times New Roman"/>
        </w:rPr>
        <w:t>4. Anket Verilerinin Genel Dağılımı</w:t>
      </w:r>
    </w:p>
    <w:p>
      <w:pPr>
        <w:spacing w:after="120" w:line="276" w:lineRule="auto"/>
      </w:pPr>
      <w:r>
        <w:rPr>
          <w:rFonts w:ascii="Times New Roman" w:hAnsi="Times New Roman"/>
          <w:b w:val="0"/>
          <w:i w:val="0"/>
          <w:sz w:val="22"/>
        </w:rPr>
        <w:t>Genel yanıt dağılımı incelendiğinde, 'Kesinlikle Katılıyorum' seçeneğinin 3900 yanıt ile en yüksek frekansa sahip olduğu görülmektedir. Bununla birlikte 'Kesinlikle Katılmıyorum' seçeneğinde 2716 yanıt bulunması, öğrenci deneyimlerinde belirgin farklılıklar olduğunu ve bazı öğretim süreçlerinde memnuniyetsizliğin dikkate alınması gerektiğini göstermektedir.</w:t>
      </w:r>
    </w:p>
    <w:p>
      <w:pPr>
        <w:spacing w:after="120" w:line="276" w:lineRule="auto"/>
      </w:pPr>
      <w:r>
        <w:rPr>
          <w:rFonts w:ascii="Times New Roman" w:hAnsi="Times New Roman"/>
          <w:b w:val="0"/>
          <w:i w:val="0"/>
          <w:sz w:val="22"/>
        </w:rPr>
        <w:t>Bu dağılım, öğrencilerin önemli bir bölümünün öğretim elemanlarının ders yürütme performansını olumlu değerlendirdiğini; ancak olumsuz görüş oranının da kalite iyileştirme çalışmalarında göz ardı edilemeyecek düzeyde olduğunu ortaya koymaktadır.</w:t>
      </w:r>
    </w:p>
    <w:p>
      <w:pPr>
        <w:spacing w:after="120" w:line="276" w:lineRule="auto"/>
      </w:pPr>
      <w:r>
        <w:rPr>
          <w:rFonts w:ascii="Times New Roman" w:hAnsi="Times New Roman"/>
        </w:rPr>
        <w:drawing>
          <wp:inline xmlns:a="http://schemas.openxmlformats.org/drawingml/2006/main" xmlns:pic="http://schemas.openxmlformats.org/drawingml/2006/picture">
            <wp:extent cx="5669280" cy="3401568"/>
            <wp:docPr id="2" name="Picture 2"/>
            <wp:cNvGraphicFramePr>
              <a:graphicFrameLocks noChangeAspect="1"/>
            </wp:cNvGraphicFramePr>
            <a:graphic>
              <a:graphicData uri="http://schemas.openxmlformats.org/drawingml/2006/picture">
                <pic:pic>
                  <pic:nvPicPr>
                    <pic:cNvPr id="0" name="genel_yanit_dagilimi.png"/>
                    <pic:cNvPicPr/>
                  </pic:nvPicPr>
                  <pic:blipFill>
                    <a:blip r:embed="rId11"/>
                    <a:stretch>
                      <a:fillRect/>
                    </a:stretch>
                  </pic:blipFill>
                  <pic:spPr>
                    <a:xfrm>
                      <a:off x="0" y="0"/>
                      <a:ext cx="5669280" cy="3401568"/>
                    </a:xfrm>
                    <a:prstGeom prst="rect"/>
                  </pic:spPr>
                </pic:pic>
              </a:graphicData>
            </a:graphic>
          </wp:inline>
        </w:drawing>
      </w:r>
    </w:p>
    <w:p>
      <w:pPr>
        <w:spacing w:after="120" w:line="276" w:lineRule="auto"/>
      </w:pPr>
      <w:r>
        <w:rPr>
          <w:rFonts w:ascii="Times New Roman" w:hAnsi="Times New Roman"/>
          <w:b w:val="0"/>
          <w:i w:val="0"/>
          <w:sz w:val="22"/>
        </w:rPr>
      </w:r>
    </w:p>
    <w:tbl>
      <w:tblPr>
        <w:tblStyle w:val="TableGrid"/>
        <w:tblW w:type="auto" w:w="0"/>
        <w:jc w:val="center"/>
        <w:tblLook w:firstColumn="1" w:firstRow="1" w:lastColumn="0" w:lastRow="0" w:noHBand="0" w:noVBand="1" w:val="04A0"/>
      </w:tblPr>
      <w:tblGrid>
        <w:gridCol w:w="1881"/>
        <w:gridCol w:w="1881"/>
        <w:gridCol w:w="1881"/>
        <w:gridCol w:w="1881"/>
        <w:gridCol w:w="1881"/>
      </w:tblGrid>
      <w:tr>
        <w:tc>
          <w:tcPr>
            <w:tcW w:type="dxa" w:w="3685"/>
            <w:vAlign w:val="center"/>
            <w:shd w:fill="D9EAF7"/>
          </w:tcPr>
          <w:p>
            <w:pPr>
              <w:jc w:val="left"/>
            </w:pPr>
            <w:r/>
            <w:r>
              <w:rPr>
                <w:rFonts w:ascii="Times New Roman" w:hAnsi="Times New Roman"/>
                <w:b/>
                <w:sz w:val="16"/>
              </w:rPr>
              <w:t>Boyut</w:t>
            </w:r>
          </w:p>
        </w:tc>
        <w:tc>
          <w:tcPr>
            <w:tcW w:type="dxa" w:w="1417"/>
            <w:vAlign w:val="center"/>
            <w:shd w:fill="D9EAF7"/>
          </w:tcPr>
          <w:p>
            <w:pPr>
              <w:jc w:val="center"/>
            </w:pPr>
            <w:r/>
            <w:r>
              <w:rPr>
                <w:rFonts w:ascii="Times New Roman" w:hAnsi="Times New Roman"/>
                <w:b/>
                <w:sz w:val="16"/>
              </w:rPr>
              <w:t>Ortalama</w:t>
            </w:r>
          </w:p>
        </w:tc>
        <w:tc>
          <w:tcPr>
            <w:tcW w:type="dxa" w:w="1417"/>
            <w:vAlign w:val="center"/>
            <w:shd w:fill="D9EAF7"/>
          </w:tcPr>
          <w:p>
            <w:pPr>
              <w:jc w:val="center"/>
            </w:pPr>
            <w:r/>
            <w:r>
              <w:rPr>
                <w:rFonts w:ascii="Times New Roman" w:hAnsi="Times New Roman"/>
                <w:b/>
                <w:sz w:val="16"/>
              </w:rPr>
              <w:t>Olumlu</w:t>
            </w:r>
          </w:p>
        </w:tc>
        <w:tc>
          <w:tcPr>
            <w:tcW w:type="dxa" w:w="1417"/>
            <w:vAlign w:val="center"/>
            <w:shd w:fill="D9EAF7"/>
          </w:tcPr>
          <w:p>
            <w:pPr>
              <w:jc w:val="center"/>
            </w:pPr>
            <w:r/>
            <w:r>
              <w:rPr>
                <w:rFonts w:ascii="Times New Roman" w:hAnsi="Times New Roman"/>
                <w:b/>
                <w:sz w:val="16"/>
              </w:rPr>
              <w:t>Kararsız</w:t>
            </w:r>
          </w:p>
        </w:tc>
        <w:tc>
          <w:tcPr>
            <w:tcW w:type="dxa" w:w="1417"/>
            <w:vAlign w:val="center"/>
            <w:shd w:fill="D9EAF7"/>
          </w:tcPr>
          <w:p>
            <w:pPr>
              <w:jc w:val="center"/>
            </w:pPr>
            <w:r/>
            <w:r>
              <w:rPr>
                <w:rFonts w:ascii="Times New Roman" w:hAnsi="Times New Roman"/>
                <w:b/>
                <w:sz w:val="16"/>
              </w:rPr>
              <w:t>Olumsuz</w:t>
            </w:r>
          </w:p>
        </w:tc>
      </w:tr>
      <w:tr>
        <w:tc>
          <w:tcPr>
            <w:tcW w:type="dxa" w:w="3685"/>
            <w:vAlign w:val="center"/>
          </w:tcPr>
          <w:p>
            <w:pPr>
              <w:jc w:val="left"/>
            </w:pPr>
            <w:r/>
            <w:r>
              <w:rPr>
                <w:rFonts w:ascii="Times New Roman" w:hAnsi="Times New Roman"/>
                <w:b w:val="0"/>
                <w:sz w:val="16"/>
              </w:rPr>
              <w:t>Planlama, kaynak ve çıktı uyumu</w:t>
            </w:r>
          </w:p>
        </w:tc>
        <w:tc>
          <w:tcPr>
            <w:tcW w:type="dxa" w:w="1417"/>
            <w:vAlign w:val="center"/>
          </w:tcPr>
          <w:p>
            <w:pPr>
              <w:jc w:val="center"/>
            </w:pPr>
            <w:r/>
            <w:r>
              <w:rPr>
                <w:rFonts w:ascii="Times New Roman" w:hAnsi="Times New Roman"/>
                <w:b w:val="0"/>
                <w:sz w:val="16"/>
              </w:rPr>
              <w:t>3,44 / 5,00</w:t>
            </w:r>
          </w:p>
        </w:tc>
        <w:tc>
          <w:tcPr>
            <w:tcW w:type="dxa" w:w="1417"/>
            <w:vAlign w:val="center"/>
          </w:tcPr>
          <w:p>
            <w:pPr>
              <w:jc w:val="center"/>
            </w:pPr>
            <w:r/>
            <w:r>
              <w:rPr>
                <w:rFonts w:ascii="Times New Roman" w:hAnsi="Times New Roman"/>
                <w:b w:val="0"/>
                <w:sz w:val="16"/>
              </w:rPr>
              <w:t>%59,2</w:t>
            </w:r>
          </w:p>
        </w:tc>
        <w:tc>
          <w:tcPr>
            <w:tcW w:type="dxa" w:w="1417"/>
            <w:vAlign w:val="center"/>
          </w:tcPr>
          <w:p>
            <w:pPr>
              <w:jc w:val="center"/>
            </w:pPr>
            <w:r/>
            <w:r>
              <w:rPr>
                <w:rFonts w:ascii="Times New Roman" w:hAnsi="Times New Roman"/>
                <w:b w:val="0"/>
                <w:sz w:val="16"/>
              </w:rPr>
              <w:t>%5,1</w:t>
            </w:r>
          </w:p>
        </w:tc>
        <w:tc>
          <w:tcPr>
            <w:tcW w:type="dxa" w:w="1417"/>
            <w:vAlign w:val="center"/>
          </w:tcPr>
          <w:p>
            <w:pPr>
              <w:jc w:val="center"/>
            </w:pPr>
            <w:r/>
            <w:r>
              <w:rPr>
                <w:rFonts w:ascii="Times New Roman" w:hAnsi="Times New Roman"/>
                <w:b w:val="0"/>
                <w:sz w:val="16"/>
              </w:rPr>
              <w:t>%35,7</w:t>
            </w:r>
          </w:p>
        </w:tc>
      </w:tr>
      <w:tr>
        <w:tc>
          <w:tcPr>
            <w:tcW w:type="dxa" w:w="3685"/>
            <w:vAlign w:val="center"/>
          </w:tcPr>
          <w:p>
            <w:pPr>
              <w:jc w:val="left"/>
            </w:pPr>
            <w:r/>
            <w:r>
              <w:rPr>
                <w:rFonts w:ascii="Times New Roman" w:hAnsi="Times New Roman"/>
                <w:b w:val="0"/>
                <w:sz w:val="16"/>
              </w:rPr>
              <w:t>Derse hazırlık ve öğretim süreci</w:t>
            </w:r>
          </w:p>
        </w:tc>
        <w:tc>
          <w:tcPr>
            <w:tcW w:type="dxa" w:w="1417"/>
            <w:vAlign w:val="center"/>
          </w:tcPr>
          <w:p>
            <w:pPr>
              <w:jc w:val="center"/>
            </w:pPr>
            <w:r/>
            <w:r>
              <w:rPr>
                <w:rFonts w:ascii="Times New Roman" w:hAnsi="Times New Roman"/>
                <w:b w:val="0"/>
                <w:sz w:val="16"/>
              </w:rPr>
              <w:t>3,32 / 5,00</w:t>
            </w:r>
          </w:p>
        </w:tc>
        <w:tc>
          <w:tcPr>
            <w:tcW w:type="dxa" w:w="1417"/>
            <w:vAlign w:val="center"/>
          </w:tcPr>
          <w:p>
            <w:pPr>
              <w:jc w:val="center"/>
            </w:pPr>
            <w:r/>
            <w:r>
              <w:rPr>
                <w:rFonts w:ascii="Times New Roman" w:hAnsi="Times New Roman"/>
                <w:b w:val="0"/>
                <w:sz w:val="16"/>
              </w:rPr>
              <w:t>%55,4</w:t>
            </w:r>
          </w:p>
        </w:tc>
        <w:tc>
          <w:tcPr>
            <w:tcW w:type="dxa" w:w="1417"/>
            <w:vAlign w:val="center"/>
          </w:tcPr>
          <w:p>
            <w:pPr>
              <w:jc w:val="center"/>
            </w:pPr>
            <w:r/>
            <w:r>
              <w:rPr>
                <w:rFonts w:ascii="Times New Roman" w:hAnsi="Times New Roman"/>
                <w:b w:val="0"/>
                <w:sz w:val="16"/>
              </w:rPr>
              <w:t>%5,9</w:t>
            </w:r>
          </w:p>
        </w:tc>
        <w:tc>
          <w:tcPr>
            <w:tcW w:type="dxa" w:w="1417"/>
            <w:vAlign w:val="center"/>
          </w:tcPr>
          <w:p>
            <w:pPr>
              <w:jc w:val="center"/>
            </w:pPr>
            <w:r/>
            <w:r>
              <w:rPr>
                <w:rFonts w:ascii="Times New Roman" w:hAnsi="Times New Roman"/>
                <w:b w:val="0"/>
                <w:sz w:val="16"/>
              </w:rPr>
              <w:t>%38,8</w:t>
            </w:r>
          </w:p>
        </w:tc>
      </w:tr>
      <w:tr>
        <w:tc>
          <w:tcPr>
            <w:tcW w:type="dxa" w:w="3685"/>
            <w:vAlign w:val="center"/>
          </w:tcPr>
          <w:p>
            <w:pPr>
              <w:jc w:val="left"/>
            </w:pPr>
            <w:r/>
            <w:r>
              <w:rPr>
                <w:rFonts w:ascii="Times New Roman" w:hAnsi="Times New Roman"/>
                <w:b w:val="0"/>
                <w:sz w:val="16"/>
              </w:rPr>
              <w:t>Uygulama, etik ve pratik öğrenme</w:t>
            </w:r>
          </w:p>
        </w:tc>
        <w:tc>
          <w:tcPr>
            <w:tcW w:type="dxa" w:w="1417"/>
            <w:vAlign w:val="center"/>
          </w:tcPr>
          <w:p>
            <w:pPr>
              <w:jc w:val="center"/>
            </w:pPr>
            <w:r/>
            <w:r>
              <w:rPr>
                <w:rFonts w:ascii="Times New Roman" w:hAnsi="Times New Roman"/>
                <w:b w:val="0"/>
                <w:sz w:val="16"/>
              </w:rPr>
              <w:t>3,21 / 5,00</w:t>
            </w:r>
          </w:p>
        </w:tc>
        <w:tc>
          <w:tcPr>
            <w:tcW w:type="dxa" w:w="1417"/>
            <w:vAlign w:val="center"/>
          </w:tcPr>
          <w:p>
            <w:pPr>
              <w:jc w:val="center"/>
            </w:pPr>
            <w:r/>
            <w:r>
              <w:rPr>
                <w:rFonts w:ascii="Times New Roman" w:hAnsi="Times New Roman"/>
                <w:b w:val="0"/>
                <w:sz w:val="16"/>
              </w:rPr>
              <w:t>%51,8</w:t>
            </w:r>
          </w:p>
        </w:tc>
        <w:tc>
          <w:tcPr>
            <w:tcW w:type="dxa" w:w="1417"/>
            <w:vAlign w:val="center"/>
          </w:tcPr>
          <w:p>
            <w:pPr>
              <w:jc w:val="center"/>
            </w:pPr>
            <w:r/>
            <w:r>
              <w:rPr>
                <w:rFonts w:ascii="Times New Roman" w:hAnsi="Times New Roman"/>
                <w:b w:val="0"/>
                <w:sz w:val="16"/>
              </w:rPr>
              <w:t>%8,2</w:t>
            </w:r>
          </w:p>
        </w:tc>
        <w:tc>
          <w:tcPr>
            <w:tcW w:type="dxa" w:w="1417"/>
            <w:vAlign w:val="center"/>
          </w:tcPr>
          <w:p>
            <w:pPr>
              <w:jc w:val="center"/>
            </w:pPr>
            <w:r/>
            <w:r>
              <w:rPr>
                <w:rFonts w:ascii="Times New Roman" w:hAnsi="Times New Roman"/>
                <w:b w:val="0"/>
                <w:sz w:val="16"/>
              </w:rPr>
              <w:t>%40,0</w:t>
            </w:r>
          </w:p>
        </w:tc>
      </w:tr>
      <w:tr>
        <w:tc>
          <w:tcPr>
            <w:tcW w:type="dxa" w:w="3685"/>
            <w:vAlign w:val="center"/>
          </w:tcPr>
          <w:p>
            <w:pPr>
              <w:jc w:val="left"/>
            </w:pPr>
            <w:r/>
            <w:r>
              <w:rPr>
                <w:rFonts w:ascii="Times New Roman" w:hAnsi="Times New Roman"/>
                <w:b w:val="0"/>
                <w:sz w:val="16"/>
              </w:rPr>
              <w:t>İletişim, ölçme-değerlendirme ve geri bildirim</w:t>
            </w:r>
          </w:p>
        </w:tc>
        <w:tc>
          <w:tcPr>
            <w:tcW w:type="dxa" w:w="1417"/>
            <w:vAlign w:val="center"/>
          </w:tcPr>
          <w:p>
            <w:pPr>
              <w:jc w:val="center"/>
            </w:pPr>
            <w:r/>
            <w:r>
              <w:rPr>
                <w:rFonts w:ascii="Times New Roman" w:hAnsi="Times New Roman"/>
                <w:b w:val="0"/>
                <w:sz w:val="16"/>
              </w:rPr>
              <w:t>3,29 / 5,00</w:t>
            </w:r>
          </w:p>
        </w:tc>
        <w:tc>
          <w:tcPr>
            <w:tcW w:type="dxa" w:w="1417"/>
            <w:vAlign w:val="center"/>
          </w:tcPr>
          <w:p>
            <w:pPr>
              <w:jc w:val="center"/>
            </w:pPr>
            <w:r/>
            <w:r>
              <w:rPr>
                <w:rFonts w:ascii="Times New Roman" w:hAnsi="Times New Roman"/>
                <w:b w:val="0"/>
                <w:sz w:val="16"/>
              </w:rPr>
              <w:t>%54,7</w:t>
            </w:r>
          </w:p>
        </w:tc>
        <w:tc>
          <w:tcPr>
            <w:tcW w:type="dxa" w:w="1417"/>
            <w:vAlign w:val="center"/>
          </w:tcPr>
          <w:p>
            <w:pPr>
              <w:jc w:val="center"/>
            </w:pPr>
            <w:r/>
            <w:r>
              <w:rPr>
                <w:rFonts w:ascii="Times New Roman" w:hAnsi="Times New Roman"/>
                <w:b w:val="0"/>
                <w:sz w:val="16"/>
              </w:rPr>
              <w:t>%6,7</w:t>
            </w:r>
          </w:p>
        </w:tc>
        <w:tc>
          <w:tcPr>
            <w:tcW w:type="dxa" w:w="1417"/>
            <w:vAlign w:val="center"/>
          </w:tcPr>
          <w:p>
            <w:pPr>
              <w:jc w:val="center"/>
            </w:pPr>
            <w:r/>
            <w:r>
              <w:rPr>
                <w:rFonts w:ascii="Times New Roman" w:hAnsi="Times New Roman"/>
                <w:b w:val="0"/>
                <w:sz w:val="16"/>
              </w:rPr>
              <w:t>%38,6</w:t>
            </w:r>
          </w:p>
        </w:tc>
      </w:tr>
      <w:tr>
        <w:tc>
          <w:tcPr>
            <w:tcW w:type="dxa" w:w="3685"/>
            <w:vAlign w:val="center"/>
          </w:tcPr>
          <w:p>
            <w:pPr>
              <w:jc w:val="left"/>
            </w:pPr>
            <w:r/>
            <w:r>
              <w:rPr>
                <w:rFonts w:ascii="Times New Roman" w:hAnsi="Times New Roman"/>
                <w:b w:val="0"/>
                <w:sz w:val="16"/>
              </w:rPr>
              <w:t>Mesleki katkı ve genel memnuniyet</w:t>
            </w:r>
          </w:p>
        </w:tc>
        <w:tc>
          <w:tcPr>
            <w:tcW w:type="dxa" w:w="1417"/>
            <w:vAlign w:val="center"/>
          </w:tcPr>
          <w:p>
            <w:pPr>
              <w:jc w:val="center"/>
            </w:pPr>
            <w:r/>
            <w:r>
              <w:rPr>
                <w:rFonts w:ascii="Times New Roman" w:hAnsi="Times New Roman"/>
                <w:b w:val="0"/>
                <w:sz w:val="16"/>
              </w:rPr>
              <w:t>3,25 / 5,00</w:t>
            </w:r>
          </w:p>
        </w:tc>
        <w:tc>
          <w:tcPr>
            <w:tcW w:type="dxa" w:w="1417"/>
            <w:vAlign w:val="center"/>
          </w:tcPr>
          <w:p>
            <w:pPr>
              <w:jc w:val="center"/>
            </w:pPr>
            <w:r/>
            <w:r>
              <w:rPr>
                <w:rFonts w:ascii="Times New Roman" w:hAnsi="Times New Roman"/>
                <w:b w:val="0"/>
                <w:sz w:val="16"/>
              </w:rPr>
              <w:t>%53,5</w:t>
            </w:r>
          </w:p>
        </w:tc>
        <w:tc>
          <w:tcPr>
            <w:tcW w:type="dxa" w:w="1417"/>
            <w:vAlign w:val="center"/>
          </w:tcPr>
          <w:p>
            <w:pPr>
              <w:jc w:val="center"/>
            </w:pPr>
            <w:r/>
            <w:r>
              <w:rPr>
                <w:rFonts w:ascii="Times New Roman" w:hAnsi="Times New Roman"/>
                <w:b w:val="0"/>
                <w:sz w:val="16"/>
              </w:rPr>
              <w:t>%5,9</w:t>
            </w:r>
          </w:p>
        </w:tc>
        <w:tc>
          <w:tcPr>
            <w:tcW w:type="dxa" w:w="1417"/>
            <w:vAlign w:val="center"/>
          </w:tcPr>
          <w:p>
            <w:pPr>
              <w:jc w:val="center"/>
            </w:pPr>
            <w:r/>
            <w:r>
              <w:rPr>
                <w:rFonts w:ascii="Times New Roman" w:hAnsi="Times New Roman"/>
                <w:b w:val="0"/>
                <w:sz w:val="16"/>
              </w:rPr>
              <w:t>%40,6</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852160" cy="3251200"/>
            <wp:docPr id="3" name="Picture 3"/>
            <wp:cNvGraphicFramePr>
              <a:graphicFrameLocks noChangeAspect="1"/>
            </wp:cNvGraphicFramePr>
            <a:graphic>
              <a:graphicData uri="http://schemas.openxmlformats.org/drawingml/2006/picture">
                <pic:pic>
                  <pic:nvPicPr>
                    <pic:cNvPr id="0" name="boyut_olumlu_oran.png"/>
                    <pic:cNvPicPr/>
                  </pic:nvPicPr>
                  <pic:blipFill>
                    <a:blip r:embed="rId12"/>
                    <a:stretch>
                      <a:fillRect/>
                    </a:stretch>
                  </pic:blipFill>
                  <pic:spPr>
                    <a:xfrm>
                      <a:off x="0" y="0"/>
                      <a:ext cx="5852160" cy="3251200"/>
                    </a:xfrm>
                    <a:prstGeom prst="rect"/>
                  </pic:spPr>
                </pic:pic>
              </a:graphicData>
            </a:graphic>
          </wp:inline>
        </w:drawing>
      </w:r>
    </w:p>
    <w:p>
      <w:pPr>
        <w:spacing w:after="120" w:line="276" w:lineRule="auto"/>
      </w:pPr>
      <w:r>
        <w:rPr>
          <w:rFonts w:ascii="Times New Roman" w:hAnsi="Times New Roman"/>
        </w:rPr>
        <w:br w:type="page"/>
      </w:r>
    </w:p>
    <w:p>
      <w:pPr>
        <w:pStyle w:val="Heading1"/>
        <w:spacing w:after="120" w:line="276" w:lineRule="auto"/>
      </w:pPr>
      <w:r>
        <w:rPr>
          <w:rFonts w:ascii="Times New Roman" w:hAnsi="Times New Roman"/>
        </w:rPr>
        <w:t>5. Öğretim Elemanı Değerlendirme Anketi Bulguları</w:t>
      </w:r>
    </w:p>
    <w:p>
      <w:pPr>
        <w:spacing w:after="120" w:line="276" w:lineRule="auto"/>
      </w:pPr>
      <w:r>
        <w:rPr>
          <w:rFonts w:ascii="Times New Roman" w:hAnsi="Times New Roman"/>
          <w:b w:val="0"/>
          <w:i w:val="0"/>
          <w:sz w:val="22"/>
        </w:rPr>
        <w:t>Bu bölümde öğretim elemanı değerlendirme anketinde yer alan 21 Likert tipi madde ayrıntılı olarak incelenmiştir. Her madde için geçerli yanıt sayısı, seçeneklere göre frekans ve oranlar, ortalama puan ve yorumlayıcı değerlendirme sunulmuştur.</w:t>
      </w:r>
    </w:p>
    <w:p>
      <w:pPr>
        <w:pStyle w:val="Heading2"/>
        <w:spacing w:after="120" w:line="276" w:lineRule="auto"/>
      </w:pPr>
      <w:r>
        <w:rPr>
          <w:rFonts w:ascii="Times New Roman" w:hAnsi="Times New Roman"/>
        </w:rPr>
        <w:t>5.1. Planlama, kaynak ve çıktı uyumu</w:t>
      </w:r>
    </w:p>
    <w:p>
      <w:pPr>
        <w:spacing w:after="120" w:line="276" w:lineRule="auto"/>
      </w:pPr>
      <w:r>
        <w:rPr>
          <w:rFonts w:ascii="Times New Roman" w:hAnsi="Times New Roman"/>
          <w:b w:val="0"/>
          <w:i w:val="0"/>
          <w:sz w:val="22"/>
        </w:rPr>
        <w:t>Bu boyutta yer alan maddelerin genel ortalaması 3,44/5,00, olumlu görüş oranı %59,2, kararsız görüş oranı %5,1 ve olumsuz görüş oranı %35,7 olarak hesaplanmıştır. Bu sonuçlar, ilgili boyutta genel eğilimin orta düzeyde olduğunu; olumlu görüşlerin çoğunlukta olmakla birlikte geliştirmeye açık alanların sürdüğünü göstermektedir.</w:t>
      </w:r>
    </w:p>
    <w:p>
      <w:pPr>
        <w:pStyle w:val="Heading3"/>
        <w:spacing w:after="120" w:line="276" w:lineRule="auto"/>
      </w:pPr>
      <w:r>
        <w:rPr>
          <w:rFonts w:ascii="Times New Roman" w:hAnsi="Times New Roman"/>
        </w:rPr>
        <w:t>Madde 1’e İlişkin Bulgular</w:t>
      </w:r>
    </w:p>
    <w:p>
      <w:pPr>
        <w:spacing w:after="120" w:line="276" w:lineRule="auto"/>
      </w:pPr>
      <w:r>
        <w:rPr>
          <w:rFonts w:ascii="Times New Roman" w:hAnsi="Times New Roman"/>
          <w:b w:val="0"/>
          <w:i/>
          <w:sz w:val="22"/>
        </w:rPr>
        <w:t>(Öğretim üyesi, dersin dönemlik planını ve kaynaklarını ilk derste açıkça belirtti.)</w:t>
      </w:r>
    </w:p>
    <w:p>
      <w:pPr>
        <w:spacing w:after="120" w:line="276" w:lineRule="auto"/>
      </w:pPr>
      <w:r>
        <w:rPr>
          <w:rFonts w:ascii="Times New Roman" w:hAnsi="Times New Roman"/>
          <w:b w:val="0"/>
          <w:i w:val="0"/>
          <w:sz w:val="22"/>
        </w:rPr>
        <w:t>Yanıt dağılımı incelendiğinde; Kesinlikle Katılıyorum seçeneğinin 198 katılımcı (%49,6), Katılıyorum seçeneğinin 44 katılımcı (%11,0), Kararsızım seçeneğinin 24 katılımcı (%6,0), Katılmıyorum seçeneğinin 26 katılımcı (%6,5) ve Kesinlikle Katılmıyorum seçeneğinin 107 katılımcı (%26,8)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3,50/5,00 olması, olumlu görüş oranının %60,7, kararsız görüş oranının %6,0 ve olumsuz görüş oranının %33,3 düzeyinde gerçekleşmesi; ilgili alanın öğrenciler tarafından görece olumlu değerlendirildiğini, ancak olumsuz görüşlerin tamamen düşük düzeyde olmadığını göstermektedir. Bu nedenle mevcut güçlü yönlerin korunması ve öğrenci deneyimini farklılaştıran unsurların izlenmesi önem taşımaktadır.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198</w:t>
            </w:r>
          </w:p>
        </w:tc>
        <w:tc>
          <w:tcPr>
            <w:tcW w:type="dxa" w:w="1701"/>
            <w:vAlign w:val="center"/>
          </w:tcPr>
          <w:p>
            <w:pPr>
              <w:jc w:val="center"/>
            </w:pPr>
            <w:r/>
            <w:r>
              <w:rPr>
                <w:rFonts w:ascii="Times New Roman" w:hAnsi="Times New Roman"/>
                <w:b w:val="0"/>
                <w:sz w:val="16"/>
              </w:rPr>
              <w:t>%49,6</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44</w:t>
            </w:r>
          </w:p>
        </w:tc>
        <w:tc>
          <w:tcPr>
            <w:tcW w:type="dxa" w:w="1701"/>
            <w:vAlign w:val="center"/>
          </w:tcPr>
          <w:p>
            <w:pPr>
              <w:jc w:val="center"/>
            </w:pPr>
            <w:r/>
            <w:r>
              <w:rPr>
                <w:rFonts w:ascii="Times New Roman" w:hAnsi="Times New Roman"/>
                <w:b w:val="0"/>
                <w:sz w:val="16"/>
              </w:rPr>
              <w:t>%11,0</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24</w:t>
            </w:r>
          </w:p>
        </w:tc>
        <w:tc>
          <w:tcPr>
            <w:tcW w:type="dxa" w:w="1701"/>
            <w:vAlign w:val="center"/>
          </w:tcPr>
          <w:p>
            <w:pPr>
              <w:jc w:val="center"/>
            </w:pPr>
            <w:r/>
            <w:r>
              <w:rPr>
                <w:rFonts w:ascii="Times New Roman" w:hAnsi="Times New Roman"/>
                <w:b w:val="0"/>
                <w:sz w:val="16"/>
              </w:rPr>
              <w:t>%6,0</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26</w:t>
            </w:r>
          </w:p>
        </w:tc>
        <w:tc>
          <w:tcPr>
            <w:tcW w:type="dxa" w:w="1701"/>
            <w:vAlign w:val="center"/>
          </w:tcPr>
          <w:p>
            <w:pPr>
              <w:jc w:val="center"/>
            </w:pPr>
            <w:r/>
            <w:r>
              <w:rPr>
                <w:rFonts w:ascii="Times New Roman" w:hAnsi="Times New Roman"/>
                <w:b w:val="0"/>
                <w:sz w:val="16"/>
              </w:rPr>
              <w:t>%6,5</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107</w:t>
            </w:r>
          </w:p>
        </w:tc>
        <w:tc>
          <w:tcPr>
            <w:tcW w:type="dxa" w:w="1701"/>
            <w:vAlign w:val="center"/>
          </w:tcPr>
          <w:p>
            <w:pPr>
              <w:jc w:val="center"/>
            </w:pPr>
            <w:r/>
            <w:r>
              <w:rPr>
                <w:rFonts w:ascii="Times New Roman" w:hAnsi="Times New Roman"/>
                <w:b w:val="0"/>
                <w:sz w:val="16"/>
              </w:rPr>
              <w:t>%26,8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3,50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4" name="Picture 4"/>
            <wp:cNvGraphicFramePr>
              <a:graphicFrameLocks noChangeAspect="1"/>
            </wp:cNvGraphicFramePr>
            <a:graphic>
              <a:graphicData uri="http://schemas.openxmlformats.org/drawingml/2006/picture">
                <pic:pic>
                  <pic:nvPicPr>
                    <pic:cNvPr id="0" name="madde_01.png"/>
                    <pic:cNvPicPr/>
                  </pic:nvPicPr>
                  <pic:blipFill>
                    <a:blip r:embed="rId13"/>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2’e İlişkin Bulgular</w:t>
      </w:r>
    </w:p>
    <w:p>
      <w:pPr>
        <w:spacing w:after="120" w:line="276" w:lineRule="auto"/>
      </w:pPr>
      <w:r>
        <w:rPr>
          <w:rFonts w:ascii="Times New Roman" w:hAnsi="Times New Roman"/>
          <w:b w:val="0"/>
          <w:i/>
          <w:sz w:val="22"/>
        </w:rPr>
        <w:t>(Dersin öğrenim çıktıları (hedefleri) ile işlenen konular birbiriyle uyumluydu.)</w:t>
      </w:r>
    </w:p>
    <w:p>
      <w:pPr>
        <w:spacing w:after="120" w:line="276" w:lineRule="auto"/>
      </w:pPr>
      <w:r>
        <w:rPr>
          <w:rFonts w:ascii="Times New Roman" w:hAnsi="Times New Roman"/>
          <w:b w:val="0"/>
          <w:i w:val="0"/>
          <w:sz w:val="22"/>
        </w:rPr>
        <w:t>Yanıt dağılımı incelendiğinde; Kesinlikle Katılıyorum seçeneğinin 198 katılımcı (%49,6), Katılıyorum seçeneğinin 37 katılımcı (%9,3), Kararsızım seçeneğinin 17 katılımcı (%4,3), Katılmıyorum seçeneğinin 28 katılımcı (%7,0) ve Kesinlikle Katılmıyorum seçeneğinin 119 katılımcı (%29,8)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3,42/5,00 olması, olumlu görüş oranının %58,9, kararsız görüş oranının %4,3 ve olumsuz görüş oranının %36,8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198</w:t>
            </w:r>
          </w:p>
        </w:tc>
        <w:tc>
          <w:tcPr>
            <w:tcW w:type="dxa" w:w="1701"/>
            <w:vAlign w:val="center"/>
          </w:tcPr>
          <w:p>
            <w:pPr>
              <w:jc w:val="center"/>
            </w:pPr>
            <w:r/>
            <w:r>
              <w:rPr>
                <w:rFonts w:ascii="Times New Roman" w:hAnsi="Times New Roman"/>
                <w:b w:val="0"/>
                <w:sz w:val="16"/>
              </w:rPr>
              <w:t>%49,6</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37</w:t>
            </w:r>
          </w:p>
        </w:tc>
        <w:tc>
          <w:tcPr>
            <w:tcW w:type="dxa" w:w="1701"/>
            <w:vAlign w:val="center"/>
          </w:tcPr>
          <w:p>
            <w:pPr>
              <w:jc w:val="center"/>
            </w:pPr>
            <w:r/>
            <w:r>
              <w:rPr>
                <w:rFonts w:ascii="Times New Roman" w:hAnsi="Times New Roman"/>
                <w:b w:val="0"/>
                <w:sz w:val="16"/>
              </w:rPr>
              <w:t>%9,3</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17</w:t>
            </w:r>
          </w:p>
        </w:tc>
        <w:tc>
          <w:tcPr>
            <w:tcW w:type="dxa" w:w="1701"/>
            <w:vAlign w:val="center"/>
          </w:tcPr>
          <w:p>
            <w:pPr>
              <w:jc w:val="center"/>
            </w:pPr>
            <w:r/>
            <w:r>
              <w:rPr>
                <w:rFonts w:ascii="Times New Roman" w:hAnsi="Times New Roman"/>
                <w:b w:val="0"/>
                <w:sz w:val="16"/>
              </w:rPr>
              <w:t>%4,3</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28</w:t>
            </w:r>
          </w:p>
        </w:tc>
        <w:tc>
          <w:tcPr>
            <w:tcW w:type="dxa" w:w="1701"/>
            <w:vAlign w:val="center"/>
          </w:tcPr>
          <w:p>
            <w:pPr>
              <w:jc w:val="center"/>
            </w:pPr>
            <w:r/>
            <w:r>
              <w:rPr>
                <w:rFonts w:ascii="Times New Roman" w:hAnsi="Times New Roman"/>
                <w:b w:val="0"/>
                <w:sz w:val="16"/>
              </w:rPr>
              <w:t>%7,0</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119</w:t>
            </w:r>
          </w:p>
        </w:tc>
        <w:tc>
          <w:tcPr>
            <w:tcW w:type="dxa" w:w="1701"/>
            <w:vAlign w:val="center"/>
          </w:tcPr>
          <w:p>
            <w:pPr>
              <w:jc w:val="center"/>
            </w:pPr>
            <w:r/>
            <w:r>
              <w:rPr>
                <w:rFonts w:ascii="Times New Roman" w:hAnsi="Times New Roman"/>
                <w:b w:val="0"/>
                <w:sz w:val="16"/>
              </w:rPr>
              <w:t>%29,8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3,42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5" name="Picture 5"/>
            <wp:cNvGraphicFramePr>
              <a:graphicFrameLocks noChangeAspect="1"/>
            </wp:cNvGraphicFramePr>
            <a:graphic>
              <a:graphicData uri="http://schemas.openxmlformats.org/drawingml/2006/picture">
                <pic:pic>
                  <pic:nvPicPr>
                    <pic:cNvPr id="0" name="madde_02.png"/>
                    <pic:cNvPicPr/>
                  </pic:nvPicPr>
                  <pic:blipFill>
                    <a:blip r:embed="rId14"/>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3’e İlişkin Bulgular</w:t>
      </w:r>
    </w:p>
    <w:p>
      <w:pPr>
        <w:spacing w:after="120" w:line="276" w:lineRule="auto"/>
      </w:pPr>
      <w:r>
        <w:rPr>
          <w:rFonts w:ascii="Times New Roman" w:hAnsi="Times New Roman"/>
          <w:b w:val="0"/>
          <w:i/>
          <w:sz w:val="22"/>
        </w:rPr>
        <w:t>(Derslerde önerilen temel ve yardımcı kaynaklar (kitap, makale vb.) günceldir.)</w:t>
      </w:r>
    </w:p>
    <w:p>
      <w:pPr>
        <w:spacing w:after="120" w:line="276" w:lineRule="auto"/>
      </w:pPr>
      <w:r>
        <w:rPr>
          <w:rFonts w:ascii="Times New Roman" w:hAnsi="Times New Roman"/>
          <w:b w:val="0"/>
          <w:i w:val="0"/>
          <w:sz w:val="22"/>
        </w:rPr>
        <w:t>Yanıt dağılımı incelendiğinde; Kesinlikle Katılıyorum seçeneğinin 195 katılımcı (%48,9), Katılıyorum seçeneğinin 37 katılımcı (%9,3), Kararsızım seçeneğinin 20 katılımcı (%5,0), Katılmıyorum seçeneğinin 26 katılımcı (%6,5) ve Kesinlikle Katılmıyorum seçeneğinin 121 katılımcı (%30,3)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3,40/5,00 olması, olumlu görüş oranının %58,1, kararsız görüş oranının %5,0 ve olumsuz görüş oranının %36,8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195</w:t>
            </w:r>
          </w:p>
        </w:tc>
        <w:tc>
          <w:tcPr>
            <w:tcW w:type="dxa" w:w="1701"/>
            <w:vAlign w:val="center"/>
          </w:tcPr>
          <w:p>
            <w:pPr>
              <w:jc w:val="center"/>
            </w:pPr>
            <w:r/>
            <w:r>
              <w:rPr>
                <w:rFonts w:ascii="Times New Roman" w:hAnsi="Times New Roman"/>
                <w:b w:val="0"/>
                <w:sz w:val="16"/>
              </w:rPr>
              <w:t>%48,9</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37</w:t>
            </w:r>
          </w:p>
        </w:tc>
        <w:tc>
          <w:tcPr>
            <w:tcW w:type="dxa" w:w="1701"/>
            <w:vAlign w:val="center"/>
          </w:tcPr>
          <w:p>
            <w:pPr>
              <w:jc w:val="center"/>
            </w:pPr>
            <w:r/>
            <w:r>
              <w:rPr>
                <w:rFonts w:ascii="Times New Roman" w:hAnsi="Times New Roman"/>
                <w:b w:val="0"/>
                <w:sz w:val="16"/>
              </w:rPr>
              <w:t>%9,3</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20</w:t>
            </w:r>
          </w:p>
        </w:tc>
        <w:tc>
          <w:tcPr>
            <w:tcW w:type="dxa" w:w="1701"/>
            <w:vAlign w:val="center"/>
          </w:tcPr>
          <w:p>
            <w:pPr>
              <w:jc w:val="center"/>
            </w:pPr>
            <w:r/>
            <w:r>
              <w:rPr>
                <w:rFonts w:ascii="Times New Roman" w:hAnsi="Times New Roman"/>
                <w:b w:val="0"/>
                <w:sz w:val="16"/>
              </w:rPr>
              <w:t>%5,0</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26</w:t>
            </w:r>
          </w:p>
        </w:tc>
        <w:tc>
          <w:tcPr>
            <w:tcW w:type="dxa" w:w="1701"/>
            <w:vAlign w:val="center"/>
          </w:tcPr>
          <w:p>
            <w:pPr>
              <w:jc w:val="center"/>
            </w:pPr>
            <w:r/>
            <w:r>
              <w:rPr>
                <w:rFonts w:ascii="Times New Roman" w:hAnsi="Times New Roman"/>
                <w:b w:val="0"/>
                <w:sz w:val="16"/>
              </w:rPr>
              <w:t>%6,5</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121</w:t>
            </w:r>
          </w:p>
        </w:tc>
        <w:tc>
          <w:tcPr>
            <w:tcW w:type="dxa" w:w="1701"/>
            <w:vAlign w:val="center"/>
          </w:tcPr>
          <w:p>
            <w:pPr>
              <w:jc w:val="center"/>
            </w:pPr>
            <w:r/>
            <w:r>
              <w:rPr>
                <w:rFonts w:ascii="Times New Roman" w:hAnsi="Times New Roman"/>
                <w:b w:val="0"/>
                <w:sz w:val="16"/>
              </w:rPr>
              <w:t>%30,3</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3,40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6" name="Picture 6"/>
            <wp:cNvGraphicFramePr>
              <a:graphicFrameLocks noChangeAspect="1"/>
            </wp:cNvGraphicFramePr>
            <a:graphic>
              <a:graphicData uri="http://schemas.openxmlformats.org/drawingml/2006/picture">
                <pic:pic>
                  <pic:nvPicPr>
                    <pic:cNvPr id="0" name="madde_03.png"/>
                    <pic:cNvPicPr/>
                  </pic:nvPicPr>
                  <pic:blipFill>
                    <a:blip r:embed="rId15"/>
                    <a:stretch>
                      <a:fillRect/>
                    </a:stretch>
                  </pic:blipFill>
                  <pic:spPr>
                    <a:xfrm>
                      <a:off x="0" y="0"/>
                      <a:ext cx="5303520" cy="2807746"/>
                    </a:xfrm>
                    <a:prstGeom prst="rect"/>
                  </pic:spPr>
                </pic:pic>
              </a:graphicData>
            </a:graphic>
          </wp:inline>
        </w:drawing>
      </w:r>
    </w:p>
    <w:p>
      <w:pPr>
        <w:pStyle w:val="Heading2"/>
        <w:spacing w:after="120" w:line="276" w:lineRule="auto"/>
      </w:pPr>
      <w:r>
        <w:rPr>
          <w:rFonts w:ascii="Times New Roman" w:hAnsi="Times New Roman"/>
        </w:rPr>
        <w:t>5.2. Derse hazırlık ve öğretim süreci</w:t>
      </w:r>
    </w:p>
    <w:p>
      <w:pPr>
        <w:spacing w:after="120" w:line="276" w:lineRule="auto"/>
      </w:pPr>
      <w:r>
        <w:rPr>
          <w:rFonts w:ascii="Times New Roman" w:hAnsi="Times New Roman"/>
          <w:b w:val="0"/>
          <w:i w:val="0"/>
          <w:sz w:val="22"/>
        </w:rPr>
        <w:t>Bu boyutta yer alan maddelerin genel ortalaması 3,32/5,00, olumlu görüş oranı %55,4, kararsız görüş oranı %5,9 ve olumsuz görüş oranı %38,8 olarak hesaplanmıştır. Bu sonuçlar, ilgili boyutta genel eğilimin orta düzeyde olduğunu; olumlu görüşlerin çoğunlukta olmakla birlikte geliştirmeye açık alanların sürdüğünü göstermektedir.</w:t>
      </w:r>
    </w:p>
    <w:p>
      <w:pPr>
        <w:pStyle w:val="Heading3"/>
        <w:spacing w:after="120" w:line="276" w:lineRule="auto"/>
      </w:pPr>
      <w:r>
        <w:rPr>
          <w:rFonts w:ascii="Times New Roman" w:hAnsi="Times New Roman"/>
        </w:rPr>
        <w:t>Madde 4’e İlişkin Bulgular</w:t>
      </w:r>
    </w:p>
    <w:p>
      <w:pPr>
        <w:spacing w:after="120" w:line="276" w:lineRule="auto"/>
      </w:pPr>
      <w:r>
        <w:rPr>
          <w:rFonts w:ascii="Times New Roman" w:hAnsi="Times New Roman"/>
          <w:b w:val="0"/>
          <w:i/>
          <w:sz w:val="22"/>
        </w:rPr>
        <w:t>(Öğretim üyesi derslere hazırlıklı ve donanımlı gelmektedir.)</w:t>
      </w:r>
    </w:p>
    <w:p>
      <w:pPr>
        <w:spacing w:after="120" w:line="276" w:lineRule="auto"/>
      </w:pPr>
      <w:r>
        <w:rPr>
          <w:rFonts w:ascii="Times New Roman" w:hAnsi="Times New Roman"/>
          <w:b w:val="0"/>
          <w:i w:val="0"/>
          <w:sz w:val="22"/>
        </w:rPr>
        <w:t>Yanıt dağılımı incelendiğinde; Kesinlikle Katılıyorum seçeneğinin 193 katılımcı (%48,4), Katılıyorum seçeneğinin 32 katılımcı (%8,0), Kararsızım seçeneğinin 20 katılımcı (%5,0), Katılmıyorum seçeneğinin 27 katılımcı (%6,8) ve Kesinlikle Katılmıyorum seçeneğinin 127 katılımcı (%31,8)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3,34/5,00 olması, olumlu görüş oranının %56,4, kararsız görüş oranının %5,0 ve olumsuz görüş oranının %38,6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193</w:t>
            </w:r>
          </w:p>
        </w:tc>
        <w:tc>
          <w:tcPr>
            <w:tcW w:type="dxa" w:w="1701"/>
            <w:vAlign w:val="center"/>
          </w:tcPr>
          <w:p>
            <w:pPr>
              <w:jc w:val="center"/>
            </w:pPr>
            <w:r/>
            <w:r>
              <w:rPr>
                <w:rFonts w:ascii="Times New Roman" w:hAnsi="Times New Roman"/>
                <w:b w:val="0"/>
                <w:sz w:val="16"/>
              </w:rPr>
              <w:t>%48,4</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32</w:t>
            </w:r>
          </w:p>
        </w:tc>
        <w:tc>
          <w:tcPr>
            <w:tcW w:type="dxa" w:w="1701"/>
            <w:vAlign w:val="center"/>
          </w:tcPr>
          <w:p>
            <w:pPr>
              <w:jc w:val="center"/>
            </w:pPr>
            <w:r/>
            <w:r>
              <w:rPr>
                <w:rFonts w:ascii="Times New Roman" w:hAnsi="Times New Roman"/>
                <w:b w:val="0"/>
                <w:sz w:val="16"/>
              </w:rPr>
              <w:t>%8,0</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20</w:t>
            </w:r>
          </w:p>
        </w:tc>
        <w:tc>
          <w:tcPr>
            <w:tcW w:type="dxa" w:w="1701"/>
            <w:vAlign w:val="center"/>
          </w:tcPr>
          <w:p>
            <w:pPr>
              <w:jc w:val="center"/>
            </w:pPr>
            <w:r/>
            <w:r>
              <w:rPr>
                <w:rFonts w:ascii="Times New Roman" w:hAnsi="Times New Roman"/>
                <w:b w:val="0"/>
                <w:sz w:val="16"/>
              </w:rPr>
              <w:t>%5,0</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27</w:t>
            </w:r>
          </w:p>
        </w:tc>
        <w:tc>
          <w:tcPr>
            <w:tcW w:type="dxa" w:w="1701"/>
            <w:vAlign w:val="center"/>
          </w:tcPr>
          <w:p>
            <w:pPr>
              <w:jc w:val="center"/>
            </w:pPr>
            <w:r/>
            <w:r>
              <w:rPr>
                <w:rFonts w:ascii="Times New Roman" w:hAnsi="Times New Roman"/>
                <w:b w:val="0"/>
                <w:sz w:val="16"/>
              </w:rPr>
              <w:t>%6,8</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127</w:t>
            </w:r>
          </w:p>
        </w:tc>
        <w:tc>
          <w:tcPr>
            <w:tcW w:type="dxa" w:w="1701"/>
            <w:vAlign w:val="center"/>
          </w:tcPr>
          <w:p>
            <w:pPr>
              <w:jc w:val="center"/>
            </w:pPr>
            <w:r/>
            <w:r>
              <w:rPr>
                <w:rFonts w:ascii="Times New Roman" w:hAnsi="Times New Roman"/>
                <w:b w:val="0"/>
                <w:sz w:val="16"/>
              </w:rPr>
              <w:t>%31,8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3,34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7" name="Picture 7"/>
            <wp:cNvGraphicFramePr>
              <a:graphicFrameLocks noChangeAspect="1"/>
            </wp:cNvGraphicFramePr>
            <a:graphic>
              <a:graphicData uri="http://schemas.openxmlformats.org/drawingml/2006/picture">
                <pic:pic>
                  <pic:nvPicPr>
                    <pic:cNvPr id="0" name="madde_04.png"/>
                    <pic:cNvPicPr/>
                  </pic:nvPicPr>
                  <pic:blipFill>
                    <a:blip r:embed="rId16"/>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5’e İlişkin Bulgular</w:t>
      </w:r>
    </w:p>
    <w:p>
      <w:pPr>
        <w:spacing w:after="120" w:line="276" w:lineRule="auto"/>
      </w:pPr>
      <w:r>
        <w:rPr>
          <w:rFonts w:ascii="Times New Roman" w:hAnsi="Times New Roman"/>
          <w:b w:val="0"/>
          <w:i/>
          <w:sz w:val="22"/>
        </w:rPr>
        <w:t>(Dersler, ilan edilen haftalık ders programına ve saatlerine uygun şekilde yürütülmektedir.)</w:t>
      </w:r>
    </w:p>
    <w:p>
      <w:pPr>
        <w:spacing w:after="120" w:line="276" w:lineRule="auto"/>
      </w:pPr>
      <w:r>
        <w:rPr>
          <w:rFonts w:ascii="Times New Roman" w:hAnsi="Times New Roman"/>
          <w:b w:val="0"/>
          <w:i w:val="0"/>
          <w:sz w:val="22"/>
        </w:rPr>
        <w:t>Yanıt dağılımı incelendiğinde; Kesinlikle Katılıyorum seçeneğinin 201 katılımcı (%50,4), Katılıyorum seçeneğinin 34 katılımcı (%8,5), Kararsızım seçeneğinin 25 katılımcı (%6,3), Katılmıyorum seçeneğinin 25 katılımcı (%6,3) ve Kesinlikle Katılmıyorum seçeneğinin 114 katılımcı (%28,6)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3,46/5,00 olması, olumlu görüş oranının %58,9, kararsız görüş oranının %6,3 ve olumsuz görüş oranının %34,8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201</w:t>
            </w:r>
          </w:p>
        </w:tc>
        <w:tc>
          <w:tcPr>
            <w:tcW w:type="dxa" w:w="1701"/>
            <w:vAlign w:val="center"/>
          </w:tcPr>
          <w:p>
            <w:pPr>
              <w:jc w:val="center"/>
            </w:pPr>
            <w:r/>
            <w:r>
              <w:rPr>
                <w:rFonts w:ascii="Times New Roman" w:hAnsi="Times New Roman"/>
                <w:b w:val="0"/>
                <w:sz w:val="16"/>
              </w:rPr>
              <w:t>%50,4</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34</w:t>
            </w:r>
          </w:p>
        </w:tc>
        <w:tc>
          <w:tcPr>
            <w:tcW w:type="dxa" w:w="1701"/>
            <w:vAlign w:val="center"/>
          </w:tcPr>
          <w:p>
            <w:pPr>
              <w:jc w:val="center"/>
            </w:pPr>
            <w:r/>
            <w:r>
              <w:rPr>
                <w:rFonts w:ascii="Times New Roman" w:hAnsi="Times New Roman"/>
                <w:b w:val="0"/>
                <w:sz w:val="16"/>
              </w:rPr>
              <w:t>%8,5</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25</w:t>
            </w:r>
          </w:p>
        </w:tc>
        <w:tc>
          <w:tcPr>
            <w:tcW w:type="dxa" w:w="1701"/>
            <w:vAlign w:val="center"/>
          </w:tcPr>
          <w:p>
            <w:pPr>
              <w:jc w:val="center"/>
            </w:pPr>
            <w:r/>
            <w:r>
              <w:rPr>
                <w:rFonts w:ascii="Times New Roman" w:hAnsi="Times New Roman"/>
                <w:b w:val="0"/>
                <w:sz w:val="16"/>
              </w:rPr>
              <w:t>%6,3</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25</w:t>
            </w:r>
          </w:p>
        </w:tc>
        <w:tc>
          <w:tcPr>
            <w:tcW w:type="dxa" w:w="1701"/>
            <w:vAlign w:val="center"/>
          </w:tcPr>
          <w:p>
            <w:pPr>
              <w:jc w:val="center"/>
            </w:pPr>
            <w:r/>
            <w:r>
              <w:rPr>
                <w:rFonts w:ascii="Times New Roman" w:hAnsi="Times New Roman"/>
                <w:b w:val="0"/>
                <w:sz w:val="16"/>
              </w:rPr>
              <w:t>%6,3</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114</w:t>
            </w:r>
          </w:p>
        </w:tc>
        <w:tc>
          <w:tcPr>
            <w:tcW w:type="dxa" w:w="1701"/>
            <w:vAlign w:val="center"/>
          </w:tcPr>
          <w:p>
            <w:pPr>
              <w:jc w:val="center"/>
            </w:pPr>
            <w:r/>
            <w:r>
              <w:rPr>
                <w:rFonts w:ascii="Times New Roman" w:hAnsi="Times New Roman"/>
                <w:b w:val="0"/>
                <w:sz w:val="16"/>
              </w:rPr>
              <w:t>%28,6</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3,46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8" name="Picture 8"/>
            <wp:cNvGraphicFramePr>
              <a:graphicFrameLocks noChangeAspect="1"/>
            </wp:cNvGraphicFramePr>
            <a:graphic>
              <a:graphicData uri="http://schemas.openxmlformats.org/drawingml/2006/picture">
                <pic:pic>
                  <pic:nvPicPr>
                    <pic:cNvPr id="0" name="madde_05.png"/>
                    <pic:cNvPicPr/>
                  </pic:nvPicPr>
                  <pic:blipFill>
                    <a:blip r:embed="rId17"/>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6’e İlişkin Bulgular</w:t>
      </w:r>
    </w:p>
    <w:p>
      <w:pPr>
        <w:spacing w:after="120" w:line="276" w:lineRule="auto"/>
      </w:pPr>
      <w:r>
        <w:rPr>
          <w:rFonts w:ascii="Times New Roman" w:hAnsi="Times New Roman"/>
          <w:b w:val="0"/>
          <w:i/>
          <w:sz w:val="22"/>
        </w:rPr>
        <w:t>(Karmaşık tıbbi ve teknik terimler, anlaşılır ve sistemli bir şekilde açıklanmaktadır.)</w:t>
      </w:r>
    </w:p>
    <w:p>
      <w:pPr>
        <w:spacing w:after="120" w:line="276" w:lineRule="auto"/>
      </w:pPr>
      <w:r>
        <w:rPr>
          <w:rFonts w:ascii="Times New Roman" w:hAnsi="Times New Roman"/>
          <w:b w:val="0"/>
          <w:i w:val="0"/>
          <w:sz w:val="22"/>
        </w:rPr>
        <w:t>Yanıt dağılımı incelendiğinde; Kesinlikle Katılıyorum seçeneğinin 192 katılımcı (%48,1), Katılıyorum seçeneğinin 28 katılımcı (%7,0), Kararsızım seçeneğinin 19 katılımcı (%4,8), Katılmıyorum seçeneğinin 29 katılımcı (%7,3) ve Kesinlikle Katılmıyorum seçeneğinin 131 katılımcı (%32,8)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3,30/5,00 olması, olumlu görüş oranının %55,1, kararsız görüş oranının %4,8 ve olumsuz görüş oranının %40,1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192</w:t>
            </w:r>
          </w:p>
        </w:tc>
        <w:tc>
          <w:tcPr>
            <w:tcW w:type="dxa" w:w="1701"/>
            <w:vAlign w:val="center"/>
          </w:tcPr>
          <w:p>
            <w:pPr>
              <w:jc w:val="center"/>
            </w:pPr>
            <w:r/>
            <w:r>
              <w:rPr>
                <w:rFonts w:ascii="Times New Roman" w:hAnsi="Times New Roman"/>
                <w:b w:val="0"/>
                <w:sz w:val="16"/>
              </w:rPr>
              <w:t>%48,1</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28</w:t>
            </w:r>
          </w:p>
        </w:tc>
        <w:tc>
          <w:tcPr>
            <w:tcW w:type="dxa" w:w="1701"/>
            <w:vAlign w:val="center"/>
          </w:tcPr>
          <w:p>
            <w:pPr>
              <w:jc w:val="center"/>
            </w:pPr>
            <w:r/>
            <w:r>
              <w:rPr>
                <w:rFonts w:ascii="Times New Roman" w:hAnsi="Times New Roman"/>
                <w:b w:val="0"/>
                <w:sz w:val="16"/>
              </w:rPr>
              <w:t>%7,0</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19</w:t>
            </w:r>
          </w:p>
        </w:tc>
        <w:tc>
          <w:tcPr>
            <w:tcW w:type="dxa" w:w="1701"/>
            <w:vAlign w:val="center"/>
          </w:tcPr>
          <w:p>
            <w:pPr>
              <w:jc w:val="center"/>
            </w:pPr>
            <w:r/>
            <w:r>
              <w:rPr>
                <w:rFonts w:ascii="Times New Roman" w:hAnsi="Times New Roman"/>
                <w:b w:val="0"/>
                <w:sz w:val="16"/>
              </w:rPr>
              <w:t>%4,8</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29</w:t>
            </w:r>
          </w:p>
        </w:tc>
        <w:tc>
          <w:tcPr>
            <w:tcW w:type="dxa" w:w="1701"/>
            <w:vAlign w:val="center"/>
          </w:tcPr>
          <w:p>
            <w:pPr>
              <w:jc w:val="center"/>
            </w:pPr>
            <w:r/>
            <w:r>
              <w:rPr>
                <w:rFonts w:ascii="Times New Roman" w:hAnsi="Times New Roman"/>
                <w:b w:val="0"/>
                <w:sz w:val="16"/>
              </w:rPr>
              <w:t>%7,3</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131</w:t>
            </w:r>
          </w:p>
        </w:tc>
        <w:tc>
          <w:tcPr>
            <w:tcW w:type="dxa" w:w="1701"/>
            <w:vAlign w:val="center"/>
          </w:tcPr>
          <w:p>
            <w:pPr>
              <w:jc w:val="center"/>
            </w:pPr>
            <w:r/>
            <w:r>
              <w:rPr>
                <w:rFonts w:ascii="Times New Roman" w:hAnsi="Times New Roman"/>
                <w:b w:val="0"/>
                <w:sz w:val="16"/>
              </w:rPr>
              <w:t>%32,8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3,30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9" name="Picture 9"/>
            <wp:cNvGraphicFramePr>
              <a:graphicFrameLocks noChangeAspect="1"/>
            </wp:cNvGraphicFramePr>
            <a:graphic>
              <a:graphicData uri="http://schemas.openxmlformats.org/drawingml/2006/picture">
                <pic:pic>
                  <pic:nvPicPr>
                    <pic:cNvPr id="0" name="madde_06.png"/>
                    <pic:cNvPicPr/>
                  </pic:nvPicPr>
                  <pic:blipFill>
                    <a:blip r:embed="rId18"/>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7’e İlişkin Bulgular</w:t>
      </w:r>
    </w:p>
    <w:p>
      <w:pPr>
        <w:spacing w:after="120" w:line="276" w:lineRule="auto"/>
      </w:pPr>
      <w:r>
        <w:rPr>
          <w:rFonts w:ascii="Times New Roman" w:hAnsi="Times New Roman"/>
          <w:b w:val="0"/>
          <w:i/>
          <w:sz w:val="22"/>
        </w:rPr>
        <w:t>(Derslerde sunum, video, simülasyon ve görsel materyaller etkin kullanılmaktadır.)</w:t>
      </w:r>
    </w:p>
    <w:p>
      <w:pPr>
        <w:spacing w:after="120" w:line="276" w:lineRule="auto"/>
      </w:pPr>
      <w:r>
        <w:rPr>
          <w:rFonts w:ascii="Times New Roman" w:hAnsi="Times New Roman"/>
          <w:b w:val="0"/>
          <w:i w:val="0"/>
          <w:sz w:val="22"/>
        </w:rPr>
        <w:t>Yanıt dağılımı incelendiğinde; Kesinlikle Katılıyorum seçeneğinin 176 katılımcı (%44,1), Katılıyorum seçeneğinin 35 katılımcı (%8,8), Kararsızım seçeneğinin 31 katılımcı (%7,8), Katılmıyorum seçeneğinin 26 katılımcı (%6,5) ve Kesinlikle Katılmıyorum seçeneğinin 131 katılımcı (%32,8)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3,25/5,00 olması, olumlu görüş oranının %52,9, kararsız görüş oranının %7,8 ve olumsuz görüş oranının %39,3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176</w:t>
            </w:r>
          </w:p>
        </w:tc>
        <w:tc>
          <w:tcPr>
            <w:tcW w:type="dxa" w:w="1701"/>
            <w:vAlign w:val="center"/>
          </w:tcPr>
          <w:p>
            <w:pPr>
              <w:jc w:val="center"/>
            </w:pPr>
            <w:r/>
            <w:r>
              <w:rPr>
                <w:rFonts w:ascii="Times New Roman" w:hAnsi="Times New Roman"/>
                <w:b w:val="0"/>
                <w:sz w:val="16"/>
              </w:rPr>
              <w:t>%44,1</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35</w:t>
            </w:r>
          </w:p>
        </w:tc>
        <w:tc>
          <w:tcPr>
            <w:tcW w:type="dxa" w:w="1701"/>
            <w:vAlign w:val="center"/>
          </w:tcPr>
          <w:p>
            <w:pPr>
              <w:jc w:val="center"/>
            </w:pPr>
            <w:r/>
            <w:r>
              <w:rPr>
                <w:rFonts w:ascii="Times New Roman" w:hAnsi="Times New Roman"/>
                <w:b w:val="0"/>
                <w:sz w:val="16"/>
              </w:rPr>
              <w:t>%8,8</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31</w:t>
            </w:r>
          </w:p>
        </w:tc>
        <w:tc>
          <w:tcPr>
            <w:tcW w:type="dxa" w:w="1701"/>
            <w:vAlign w:val="center"/>
          </w:tcPr>
          <w:p>
            <w:pPr>
              <w:jc w:val="center"/>
            </w:pPr>
            <w:r/>
            <w:r>
              <w:rPr>
                <w:rFonts w:ascii="Times New Roman" w:hAnsi="Times New Roman"/>
                <w:b w:val="0"/>
                <w:sz w:val="16"/>
              </w:rPr>
              <w:t>%7,8</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26</w:t>
            </w:r>
          </w:p>
        </w:tc>
        <w:tc>
          <w:tcPr>
            <w:tcW w:type="dxa" w:w="1701"/>
            <w:vAlign w:val="center"/>
          </w:tcPr>
          <w:p>
            <w:pPr>
              <w:jc w:val="center"/>
            </w:pPr>
            <w:r/>
            <w:r>
              <w:rPr>
                <w:rFonts w:ascii="Times New Roman" w:hAnsi="Times New Roman"/>
                <w:b w:val="0"/>
                <w:sz w:val="16"/>
              </w:rPr>
              <w:t>%6,5</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131</w:t>
            </w:r>
          </w:p>
        </w:tc>
        <w:tc>
          <w:tcPr>
            <w:tcW w:type="dxa" w:w="1701"/>
            <w:vAlign w:val="center"/>
          </w:tcPr>
          <w:p>
            <w:pPr>
              <w:jc w:val="center"/>
            </w:pPr>
            <w:r/>
            <w:r>
              <w:rPr>
                <w:rFonts w:ascii="Times New Roman" w:hAnsi="Times New Roman"/>
                <w:b w:val="0"/>
                <w:sz w:val="16"/>
              </w:rPr>
              <w:t>%32,8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3,25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0" name="Picture 10"/>
            <wp:cNvGraphicFramePr>
              <a:graphicFrameLocks noChangeAspect="1"/>
            </wp:cNvGraphicFramePr>
            <a:graphic>
              <a:graphicData uri="http://schemas.openxmlformats.org/drawingml/2006/picture">
                <pic:pic>
                  <pic:nvPicPr>
                    <pic:cNvPr id="0" name="madde_07.png"/>
                    <pic:cNvPicPr/>
                  </pic:nvPicPr>
                  <pic:blipFill>
                    <a:blip r:embed="rId19"/>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8’e İlişkin Bulgular</w:t>
      </w:r>
    </w:p>
    <w:p>
      <w:pPr>
        <w:spacing w:after="120" w:line="276" w:lineRule="auto"/>
      </w:pPr>
      <w:r>
        <w:rPr>
          <w:rFonts w:ascii="Times New Roman" w:hAnsi="Times New Roman"/>
          <w:b w:val="0"/>
          <w:i/>
          <w:sz w:val="22"/>
        </w:rPr>
        <w:t>(Öğretim üyesi, öğrencinin derse aktif katılımını (soru-cevap, tartışma vb.) teşvik etmektedir.)</w:t>
      </w:r>
    </w:p>
    <w:p>
      <w:pPr>
        <w:spacing w:after="120" w:line="276" w:lineRule="auto"/>
      </w:pPr>
      <w:r>
        <w:rPr>
          <w:rFonts w:ascii="Times New Roman" w:hAnsi="Times New Roman"/>
          <w:b w:val="0"/>
          <w:i w:val="0"/>
          <w:sz w:val="22"/>
        </w:rPr>
        <w:t>Yanıt dağılımı incelendiğinde; Kesinlikle Katılıyorum seçeneğinin 186 katılımcı (%46,6), Katılıyorum seçeneğinin 43 katılımcı (%10,8), Kararsızım seçeneğinin 26 katılımcı (%6,5), Katılmıyorum seçeneğinin 27 katılımcı (%6,8) ve Kesinlikle Katılmıyorum seçeneğinin 117 katılımcı (%29,3)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3,39/5,00 olması, olumlu görüş oranının %57,4, kararsız görüş oranının %6,5 ve olumsuz görüş oranının %36,1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186</w:t>
            </w:r>
          </w:p>
        </w:tc>
        <w:tc>
          <w:tcPr>
            <w:tcW w:type="dxa" w:w="1701"/>
            <w:vAlign w:val="center"/>
          </w:tcPr>
          <w:p>
            <w:pPr>
              <w:jc w:val="center"/>
            </w:pPr>
            <w:r/>
            <w:r>
              <w:rPr>
                <w:rFonts w:ascii="Times New Roman" w:hAnsi="Times New Roman"/>
                <w:b w:val="0"/>
                <w:sz w:val="16"/>
              </w:rPr>
              <w:t>%46,6</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43</w:t>
            </w:r>
          </w:p>
        </w:tc>
        <w:tc>
          <w:tcPr>
            <w:tcW w:type="dxa" w:w="1701"/>
            <w:vAlign w:val="center"/>
          </w:tcPr>
          <w:p>
            <w:pPr>
              <w:jc w:val="center"/>
            </w:pPr>
            <w:r/>
            <w:r>
              <w:rPr>
                <w:rFonts w:ascii="Times New Roman" w:hAnsi="Times New Roman"/>
                <w:b w:val="0"/>
                <w:sz w:val="16"/>
              </w:rPr>
              <w:t>%10,8</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26</w:t>
            </w:r>
          </w:p>
        </w:tc>
        <w:tc>
          <w:tcPr>
            <w:tcW w:type="dxa" w:w="1701"/>
            <w:vAlign w:val="center"/>
          </w:tcPr>
          <w:p>
            <w:pPr>
              <w:jc w:val="center"/>
            </w:pPr>
            <w:r/>
            <w:r>
              <w:rPr>
                <w:rFonts w:ascii="Times New Roman" w:hAnsi="Times New Roman"/>
                <w:b w:val="0"/>
                <w:sz w:val="16"/>
              </w:rPr>
              <w:t>%6,5</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27</w:t>
            </w:r>
          </w:p>
        </w:tc>
        <w:tc>
          <w:tcPr>
            <w:tcW w:type="dxa" w:w="1701"/>
            <w:vAlign w:val="center"/>
          </w:tcPr>
          <w:p>
            <w:pPr>
              <w:jc w:val="center"/>
            </w:pPr>
            <w:r/>
            <w:r>
              <w:rPr>
                <w:rFonts w:ascii="Times New Roman" w:hAnsi="Times New Roman"/>
                <w:b w:val="0"/>
                <w:sz w:val="16"/>
              </w:rPr>
              <w:t>%6,8</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117</w:t>
            </w:r>
          </w:p>
        </w:tc>
        <w:tc>
          <w:tcPr>
            <w:tcW w:type="dxa" w:w="1701"/>
            <w:vAlign w:val="center"/>
          </w:tcPr>
          <w:p>
            <w:pPr>
              <w:jc w:val="center"/>
            </w:pPr>
            <w:r/>
            <w:r>
              <w:rPr>
                <w:rFonts w:ascii="Times New Roman" w:hAnsi="Times New Roman"/>
                <w:b w:val="0"/>
                <w:sz w:val="16"/>
              </w:rPr>
              <w:t>%29,3</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3,39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1" name="Picture 11"/>
            <wp:cNvGraphicFramePr>
              <a:graphicFrameLocks noChangeAspect="1"/>
            </wp:cNvGraphicFramePr>
            <a:graphic>
              <a:graphicData uri="http://schemas.openxmlformats.org/drawingml/2006/picture">
                <pic:pic>
                  <pic:nvPicPr>
                    <pic:cNvPr id="0" name="madde_08.png"/>
                    <pic:cNvPicPr/>
                  </pic:nvPicPr>
                  <pic:blipFill>
                    <a:blip r:embed="rId20"/>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9’e İlişkin Bulgular</w:t>
      </w:r>
    </w:p>
    <w:p>
      <w:pPr>
        <w:spacing w:after="120" w:line="276" w:lineRule="auto"/>
      </w:pPr>
      <w:r>
        <w:rPr>
          <w:rFonts w:ascii="Times New Roman" w:hAnsi="Times New Roman"/>
          <w:b w:val="0"/>
          <w:i/>
          <w:sz w:val="22"/>
        </w:rPr>
        <w:t>(Dersin işleniş hızı, konunun kavranması için uygundur.)</w:t>
      </w:r>
    </w:p>
    <w:p>
      <w:pPr>
        <w:spacing w:after="120" w:line="276" w:lineRule="auto"/>
      </w:pPr>
      <w:r>
        <w:rPr>
          <w:rFonts w:ascii="Times New Roman" w:hAnsi="Times New Roman"/>
          <w:b w:val="0"/>
          <w:i w:val="0"/>
          <w:sz w:val="22"/>
        </w:rPr>
        <w:t>Yanıt dağılımı incelendiğinde; Kesinlikle Katılıyorum seçeneğinin 183 katılımcı (%45,9), Katılıyorum seçeneğinin 28 katılımcı (%7,0), Kararsızım seçeneğinin 25 katılımcı (%6,3), Katılmıyorum seçeneğinin 27 katılımcı (%6,8) ve Kesinlikle Katılmıyorum seçeneğinin 136 katılımcı (%34,1)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3,24/5,00 olması, olumlu görüş oranının %52,9, kararsız görüş oranının %6,3 ve olumsuz görüş oranının %40,9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183</w:t>
            </w:r>
          </w:p>
        </w:tc>
        <w:tc>
          <w:tcPr>
            <w:tcW w:type="dxa" w:w="1701"/>
            <w:vAlign w:val="center"/>
          </w:tcPr>
          <w:p>
            <w:pPr>
              <w:jc w:val="center"/>
            </w:pPr>
            <w:r/>
            <w:r>
              <w:rPr>
                <w:rFonts w:ascii="Times New Roman" w:hAnsi="Times New Roman"/>
                <w:b w:val="0"/>
                <w:sz w:val="16"/>
              </w:rPr>
              <w:t>%45,9</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28</w:t>
            </w:r>
          </w:p>
        </w:tc>
        <w:tc>
          <w:tcPr>
            <w:tcW w:type="dxa" w:w="1701"/>
            <w:vAlign w:val="center"/>
          </w:tcPr>
          <w:p>
            <w:pPr>
              <w:jc w:val="center"/>
            </w:pPr>
            <w:r/>
            <w:r>
              <w:rPr>
                <w:rFonts w:ascii="Times New Roman" w:hAnsi="Times New Roman"/>
                <w:b w:val="0"/>
                <w:sz w:val="16"/>
              </w:rPr>
              <w:t>%7,0</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25</w:t>
            </w:r>
          </w:p>
        </w:tc>
        <w:tc>
          <w:tcPr>
            <w:tcW w:type="dxa" w:w="1701"/>
            <w:vAlign w:val="center"/>
          </w:tcPr>
          <w:p>
            <w:pPr>
              <w:jc w:val="center"/>
            </w:pPr>
            <w:r/>
            <w:r>
              <w:rPr>
                <w:rFonts w:ascii="Times New Roman" w:hAnsi="Times New Roman"/>
                <w:b w:val="0"/>
                <w:sz w:val="16"/>
              </w:rPr>
              <w:t>%6,3</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27</w:t>
            </w:r>
          </w:p>
        </w:tc>
        <w:tc>
          <w:tcPr>
            <w:tcW w:type="dxa" w:w="1701"/>
            <w:vAlign w:val="center"/>
          </w:tcPr>
          <w:p>
            <w:pPr>
              <w:jc w:val="center"/>
            </w:pPr>
            <w:r/>
            <w:r>
              <w:rPr>
                <w:rFonts w:ascii="Times New Roman" w:hAnsi="Times New Roman"/>
                <w:b w:val="0"/>
                <w:sz w:val="16"/>
              </w:rPr>
              <w:t>%6,8</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136</w:t>
            </w:r>
          </w:p>
        </w:tc>
        <w:tc>
          <w:tcPr>
            <w:tcW w:type="dxa" w:w="1701"/>
            <w:vAlign w:val="center"/>
          </w:tcPr>
          <w:p>
            <w:pPr>
              <w:jc w:val="center"/>
            </w:pPr>
            <w:r/>
            <w:r>
              <w:rPr>
                <w:rFonts w:ascii="Times New Roman" w:hAnsi="Times New Roman"/>
                <w:b w:val="0"/>
                <w:sz w:val="16"/>
              </w:rPr>
              <w:t>%34,1</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3,24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2" name="Picture 12"/>
            <wp:cNvGraphicFramePr>
              <a:graphicFrameLocks noChangeAspect="1"/>
            </wp:cNvGraphicFramePr>
            <a:graphic>
              <a:graphicData uri="http://schemas.openxmlformats.org/drawingml/2006/picture">
                <pic:pic>
                  <pic:nvPicPr>
                    <pic:cNvPr id="0" name="madde_09.png"/>
                    <pic:cNvPicPr/>
                  </pic:nvPicPr>
                  <pic:blipFill>
                    <a:blip r:embed="rId21"/>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10’e İlişkin Bulgular</w:t>
      </w:r>
    </w:p>
    <w:p>
      <w:pPr>
        <w:spacing w:after="120" w:line="276" w:lineRule="auto"/>
      </w:pPr>
      <w:r>
        <w:rPr>
          <w:rFonts w:ascii="Times New Roman" w:hAnsi="Times New Roman"/>
          <w:b w:val="0"/>
          <w:i/>
          <w:sz w:val="22"/>
        </w:rPr>
        <w:t>(Önemli noktalar ve/veya "klinik ipuçları" ders içerisinde vurgulanmaktadır.)</w:t>
      </w:r>
    </w:p>
    <w:p>
      <w:pPr>
        <w:spacing w:after="120" w:line="276" w:lineRule="auto"/>
      </w:pPr>
      <w:r>
        <w:rPr>
          <w:rFonts w:ascii="Times New Roman" w:hAnsi="Times New Roman"/>
          <w:b w:val="0"/>
          <w:i w:val="0"/>
          <w:sz w:val="22"/>
        </w:rPr>
        <w:t>Yanıt dağılımı incelendiğinde; Kesinlikle Katılıyorum seçeneğinin 186 katılımcı (%46,6), Katılıyorum seçeneğinin 30 katılımcı (%7,5), Kararsızım seçeneğinin 22 katılımcı (%5,5), Katılmıyorum seçeneğinin 29 katılımcı (%7,3) ve Kesinlikle Katılmıyorum seçeneğinin 132 katılımcı (%33,1)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3,27/5,00 olması, olumlu görüş oranının %54,1, kararsız görüş oranının %5,5 ve olumsuz görüş oranının %40,4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186</w:t>
            </w:r>
          </w:p>
        </w:tc>
        <w:tc>
          <w:tcPr>
            <w:tcW w:type="dxa" w:w="1701"/>
            <w:vAlign w:val="center"/>
          </w:tcPr>
          <w:p>
            <w:pPr>
              <w:jc w:val="center"/>
            </w:pPr>
            <w:r/>
            <w:r>
              <w:rPr>
                <w:rFonts w:ascii="Times New Roman" w:hAnsi="Times New Roman"/>
                <w:b w:val="0"/>
                <w:sz w:val="16"/>
              </w:rPr>
              <w:t>%46,6</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30</w:t>
            </w:r>
          </w:p>
        </w:tc>
        <w:tc>
          <w:tcPr>
            <w:tcW w:type="dxa" w:w="1701"/>
            <w:vAlign w:val="center"/>
          </w:tcPr>
          <w:p>
            <w:pPr>
              <w:jc w:val="center"/>
            </w:pPr>
            <w:r/>
            <w:r>
              <w:rPr>
                <w:rFonts w:ascii="Times New Roman" w:hAnsi="Times New Roman"/>
                <w:b w:val="0"/>
                <w:sz w:val="16"/>
              </w:rPr>
              <w:t>%7,5</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22</w:t>
            </w:r>
          </w:p>
        </w:tc>
        <w:tc>
          <w:tcPr>
            <w:tcW w:type="dxa" w:w="1701"/>
            <w:vAlign w:val="center"/>
          </w:tcPr>
          <w:p>
            <w:pPr>
              <w:jc w:val="center"/>
            </w:pPr>
            <w:r/>
            <w:r>
              <w:rPr>
                <w:rFonts w:ascii="Times New Roman" w:hAnsi="Times New Roman"/>
                <w:b w:val="0"/>
                <w:sz w:val="16"/>
              </w:rPr>
              <w:t>%5,5</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29</w:t>
            </w:r>
          </w:p>
        </w:tc>
        <w:tc>
          <w:tcPr>
            <w:tcW w:type="dxa" w:w="1701"/>
            <w:vAlign w:val="center"/>
          </w:tcPr>
          <w:p>
            <w:pPr>
              <w:jc w:val="center"/>
            </w:pPr>
            <w:r/>
            <w:r>
              <w:rPr>
                <w:rFonts w:ascii="Times New Roman" w:hAnsi="Times New Roman"/>
                <w:b w:val="0"/>
                <w:sz w:val="16"/>
              </w:rPr>
              <w:t>%7,3</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132</w:t>
            </w:r>
          </w:p>
        </w:tc>
        <w:tc>
          <w:tcPr>
            <w:tcW w:type="dxa" w:w="1701"/>
            <w:vAlign w:val="center"/>
          </w:tcPr>
          <w:p>
            <w:pPr>
              <w:jc w:val="center"/>
            </w:pPr>
            <w:r/>
            <w:r>
              <w:rPr>
                <w:rFonts w:ascii="Times New Roman" w:hAnsi="Times New Roman"/>
                <w:b w:val="0"/>
                <w:sz w:val="16"/>
              </w:rPr>
              <w:t>%33,1</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3,27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3" name="Picture 13"/>
            <wp:cNvGraphicFramePr>
              <a:graphicFrameLocks noChangeAspect="1"/>
            </wp:cNvGraphicFramePr>
            <a:graphic>
              <a:graphicData uri="http://schemas.openxmlformats.org/drawingml/2006/picture">
                <pic:pic>
                  <pic:nvPicPr>
                    <pic:cNvPr id="0" name="madde_10.png"/>
                    <pic:cNvPicPr/>
                  </pic:nvPicPr>
                  <pic:blipFill>
                    <a:blip r:embed="rId22"/>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11’e İlişkin Bulgular</w:t>
      </w:r>
    </w:p>
    <w:p>
      <w:pPr>
        <w:spacing w:after="120" w:line="276" w:lineRule="auto"/>
      </w:pPr>
      <w:r>
        <w:rPr>
          <w:rFonts w:ascii="Times New Roman" w:hAnsi="Times New Roman"/>
          <w:b w:val="0"/>
          <w:i/>
          <w:sz w:val="22"/>
        </w:rPr>
        <w:t>(Teorik derslerde anlatılan bilgiler ile laboratuvar/klinik uygulamalar arasında bütünlük sağlanmaktadır.)</w:t>
      </w:r>
    </w:p>
    <w:p>
      <w:pPr>
        <w:spacing w:after="120" w:line="276" w:lineRule="auto"/>
      </w:pPr>
      <w:r>
        <w:rPr>
          <w:rFonts w:ascii="Times New Roman" w:hAnsi="Times New Roman"/>
          <w:b w:val="0"/>
          <w:i w:val="0"/>
          <w:sz w:val="22"/>
        </w:rPr>
        <w:t>Yanıt dağılımı incelendiğinde; Kesinlikle Katılıyorum seçeneğinin 180 katılımcı (%45,1), Katılıyorum seçeneğinin 41 katılımcı (%10,3), Kararsızım seçeneğinin 19 katılımcı (%4,8), Katılmıyorum seçeneğinin 27 katılımcı (%6,8) ve Kesinlikle Katılmıyorum seçeneğinin 132 katılımcı (%33,1)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3,28/5,00 olması, olumlu görüş oranının %55,4, kararsız görüş oranının %4,8 ve olumsuz görüş oranının %39,8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180</w:t>
            </w:r>
          </w:p>
        </w:tc>
        <w:tc>
          <w:tcPr>
            <w:tcW w:type="dxa" w:w="1701"/>
            <w:vAlign w:val="center"/>
          </w:tcPr>
          <w:p>
            <w:pPr>
              <w:jc w:val="center"/>
            </w:pPr>
            <w:r/>
            <w:r>
              <w:rPr>
                <w:rFonts w:ascii="Times New Roman" w:hAnsi="Times New Roman"/>
                <w:b w:val="0"/>
                <w:sz w:val="16"/>
              </w:rPr>
              <w:t>%45,1</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41</w:t>
            </w:r>
          </w:p>
        </w:tc>
        <w:tc>
          <w:tcPr>
            <w:tcW w:type="dxa" w:w="1701"/>
            <w:vAlign w:val="center"/>
          </w:tcPr>
          <w:p>
            <w:pPr>
              <w:jc w:val="center"/>
            </w:pPr>
            <w:r/>
            <w:r>
              <w:rPr>
                <w:rFonts w:ascii="Times New Roman" w:hAnsi="Times New Roman"/>
                <w:b w:val="0"/>
                <w:sz w:val="16"/>
              </w:rPr>
              <w:t>%10,3</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19</w:t>
            </w:r>
          </w:p>
        </w:tc>
        <w:tc>
          <w:tcPr>
            <w:tcW w:type="dxa" w:w="1701"/>
            <w:vAlign w:val="center"/>
          </w:tcPr>
          <w:p>
            <w:pPr>
              <w:jc w:val="center"/>
            </w:pPr>
            <w:r/>
            <w:r>
              <w:rPr>
                <w:rFonts w:ascii="Times New Roman" w:hAnsi="Times New Roman"/>
                <w:b w:val="0"/>
                <w:sz w:val="16"/>
              </w:rPr>
              <w:t>%4,8</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27</w:t>
            </w:r>
          </w:p>
        </w:tc>
        <w:tc>
          <w:tcPr>
            <w:tcW w:type="dxa" w:w="1701"/>
            <w:vAlign w:val="center"/>
          </w:tcPr>
          <w:p>
            <w:pPr>
              <w:jc w:val="center"/>
            </w:pPr>
            <w:r/>
            <w:r>
              <w:rPr>
                <w:rFonts w:ascii="Times New Roman" w:hAnsi="Times New Roman"/>
                <w:b w:val="0"/>
                <w:sz w:val="16"/>
              </w:rPr>
              <w:t>%6,8</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132</w:t>
            </w:r>
          </w:p>
        </w:tc>
        <w:tc>
          <w:tcPr>
            <w:tcW w:type="dxa" w:w="1701"/>
            <w:vAlign w:val="center"/>
          </w:tcPr>
          <w:p>
            <w:pPr>
              <w:jc w:val="center"/>
            </w:pPr>
            <w:r/>
            <w:r>
              <w:rPr>
                <w:rFonts w:ascii="Times New Roman" w:hAnsi="Times New Roman"/>
                <w:b w:val="0"/>
                <w:sz w:val="16"/>
              </w:rPr>
              <w:t>%33,1</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3,28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4" name="Picture 14"/>
            <wp:cNvGraphicFramePr>
              <a:graphicFrameLocks noChangeAspect="1"/>
            </wp:cNvGraphicFramePr>
            <a:graphic>
              <a:graphicData uri="http://schemas.openxmlformats.org/drawingml/2006/picture">
                <pic:pic>
                  <pic:nvPicPr>
                    <pic:cNvPr id="0" name="madde_11.png"/>
                    <pic:cNvPicPr/>
                  </pic:nvPicPr>
                  <pic:blipFill>
                    <a:blip r:embed="rId23"/>
                    <a:stretch>
                      <a:fillRect/>
                    </a:stretch>
                  </pic:blipFill>
                  <pic:spPr>
                    <a:xfrm>
                      <a:off x="0" y="0"/>
                      <a:ext cx="5303520" cy="2807746"/>
                    </a:xfrm>
                    <a:prstGeom prst="rect"/>
                  </pic:spPr>
                </pic:pic>
              </a:graphicData>
            </a:graphic>
          </wp:inline>
        </w:drawing>
      </w:r>
    </w:p>
    <w:p>
      <w:pPr>
        <w:pStyle w:val="Heading2"/>
        <w:spacing w:after="120" w:line="276" w:lineRule="auto"/>
      </w:pPr>
      <w:r>
        <w:rPr>
          <w:rFonts w:ascii="Times New Roman" w:hAnsi="Times New Roman"/>
        </w:rPr>
        <w:t>5.3. Uygulama, etik ve pratik öğrenme</w:t>
      </w:r>
    </w:p>
    <w:p>
      <w:pPr>
        <w:spacing w:after="120" w:line="276" w:lineRule="auto"/>
      </w:pPr>
      <w:r>
        <w:rPr>
          <w:rFonts w:ascii="Times New Roman" w:hAnsi="Times New Roman"/>
          <w:b w:val="0"/>
          <w:i w:val="0"/>
          <w:sz w:val="22"/>
        </w:rPr>
        <w:t>Bu boyutta yer alan maddelerin genel ortalaması 3,21/5,00, olumlu görüş oranı %51,8, kararsız görüş oranı %8,2 ve olumsuz görüş oranı %40,0 olarak hesaplanmıştır. Bu sonuçlar, ilgili boyutta genel eğilimin orta düzeyde olduğunu; olumlu görüşlerin çoğunlukta olmakla birlikte geliştirmeye açık alanların sürdüğünü göstermektedir.</w:t>
      </w:r>
    </w:p>
    <w:p>
      <w:pPr>
        <w:pStyle w:val="Heading3"/>
        <w:spacing w:after="120" w:line="276" w:lineRule="auto"/>
      </w:pPr>
      <w:r>
        <w:rPr>
          <w:rFonts w:ascii="Times New Roman" w:hAnsi="Times New Roman"/>
        </w:rPr>
        <w:t>Madde 12’e İlişkin Bulgular</w:t>
      </w:r>
    </w:p>
    <w:p>
      <w:pPr>
        <w:spacing w:after="120" w:line="276" w:lineRule="auto"/>
      </w:pPr>
      <w:r>
        <w:rPr>
          <w:rFonts w:ascii="Times New Roman" w:hAnsi="Times New Roman"/>
          <w:b w:val="0"/>
          <w:i/>
          <w:sz w:val="22"/>
        </w:rPr>
        <w:t>(Uygulama saatlerinde her öğrenciye yeterli pratik yapma imkanı tanınmaktadır.)</w:t>
      </w:r>
    </w:p>
    <w:p>
      <w:pPr>
        <w:spacing w:after="120" w:line="276" w:lineRule="auto"/>
      </w:pPr>
      <w:r>
        <w:rPr>
          <w:rFonts w:ascii="Times New Roman" w:hAnsi="Times New Roman"/>
          <w:b w:val="0"/>
          <w:i w:val="0"/>
          <w:sz w:val="22"/>
        </w:rPr>
        <w:t>Yanıt dağılımı incelendiğinde; Kesinlikle Katılıyorum seçeneğinin 155 katılımcı (%38,8), Katılıyorum seçeneğinin 34 katılımcı (%8,5), Kararsızım seçeneğinin 37 katılımcı (%9,3), Katılmıyorum seçeneğinin 28 katılımcı (%7,0) ve Kesinlikle Katılmıyorum seçeneğinin 145 katılımcı (%36,3)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3,07/5,00 olması, olumlu görüş oranının %47,4, kararsız görüş oranının %9,3 ve olumsuz görüş oranının %43,4 düzeyinde gerçekleşmesi; bu maddenin belirgin bir iyileştirme alanı olduğunu göstermektedir. Öğrencilerin deneyimlerinde farklılaşma yüksek olduğundan, ilgili sürece yönelik planlı ve ölçülebilir iyileştirme faaliyetlerinin yürütülmesi önerilmektedir.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155</w:t>
            </w:r>
          </w:p>
        </w:tc>
        <w:tc>
          <w:tcPr>
            <w:tcW w:type="dxa" w:w="1701"/>
            <w:vAlign w:val="center"/>
          </w:tcPr>
          <w:p>
            <w:pPr>
              <w:jc w:val="center"/>
            </w:pPr>
            <w:r/>
            <w:r>
              <w:rPr>
                <w:rFonts w:ascii="Times New Roman" w:hAnsi="Times New Roman"/>
                <w:b w:val="0"/>
                <w:sz w:val="16"/>
              </w:rPr>
              <w:t>%38,8</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34</w:t>
            </w:r>
          </w:p>
        </w:tc>
        <w:tc>
          <w:tcPr>
            <w:tcW w:type="dxa" w:w="1701"/>
            <w:vAlign w:val="center"/>
          </w:tcPr>
          <w:p>
            <w:pPr>
              <w:jc w:val="center"/>
            </w:pPr>
            <w:r/>
            <w:r>
              <w:rPr>
                <w:rFonts w:ascii="Times New Roman" w:hAnsi="Times New Roman"/>
                <w:b w:val="0"/>
                <w:sz w:val="16"/>
              </w:rPr>
              <w:t>%8,5</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37</w:t>
            </w:r>
          </w:p>
        </w:tc>
        <w:tc>
          <w:tcPr>
            <w:tcW w:type="dxa" w:w="1701"/>
            <w:vAlign w:val="center"/>
          </w:tcPr>
          <w:p>
            <w:pPr>
              <w:jc w:val="center"/>
            </w:pPr>
            <w:r/>
            <w:r>
              <w:rPr>
                <w:rFonts w:ascii="Times New Roman" w:hAnsi="Times New Roman"/>
                <w:b w:val="0"/>
                <w:sz w:val="16"/>
              </w:rPr>
              <w:t>%9,3</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28</w:t>
            </w:r>
          </w:p>
        </w:tc>
        <w:tc>
          <w:tcPr>
            <w:tcW w:type="dxa" w:w="1701"/>
            <w:vAlign w:val="center"/>
          </w:tcPr>
          <w:p>
            <w:pPr>
              <w:jc w:val="center"/>
            </w:pPr>
            <w:r/>
            <w:r>
              <w:rPr>
                <w:rFonts w:ascii="Times New Roman" w:hAnsi="Times New Roman"/>
                <w:b w:val="0"/>
                <w:sz w:val="16"/>
              </w:rPr>
              <w:t>%7,0</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145</w:t>
            </w:r>
          </w:p>
        </w:tc>
        <w:tc>
          <w:tcPr>
            <w:tcW w:type="dxa" w:w="1701"/>
            <w:vAlign w:val="center"/>
          </w:tcPr>
          <w:p>
            <w:pPr>
              <w:jc w:val="center"/>
            </w:pPr>
            <w:r/>
            <w:r>
              <w:rPr>
                <w:rFonts w:ascii="Times New Roman" w:hAnsi="Times New Roman"/>
                <w:b w:val="0"/>
                <w:sz w:val="16"/>
              </w:rPr>
              <w:t>%36,3</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3,07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5" name="Picture 15"/>
            <wp:cNvGraphicFramePr>
              <a:graphicFrameLocks noChangeAspect="1"/>
            </wp:cNvGraphicFramePr>
            <a:graphic>
              <a:graphicData uri="http://schemas.openxmlformats.org/drawingml/2006/picture">
                <pic:pic>
                  <pic:nvPicPr>
                    <pic:cNvPr id="0" name="madde_12.png"/>
                    <pic:cNvPicPr/>
                  </pic:nvPicPr>
                  <pic:blipFill>
                    <a:blip r:embed="rId24"/>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13’e İlişkin Bulgular</w:t>
      </w:r>
    </w:p>
    <w:p>
      <w:pPr>
        <w:spacing w:after="120" w:line="276" w:lineRule="auto"/>
      </w:pPr>
      <w:r>
        <w:rPr>
          <w:rFonts w:ascii="Times New Roman" w:hAnsi="Times New Roman"/>
          <w:b w:val="0"/>
          <w:i/>
          <w:sz w:val="22"/>
        </w:rPr>
        <w:t>(Uygulamalar sırasında karşılaşılan sorunlara çözüm odaklı ve öğretici yaklaşımlar sergilenmektedir.)</w:t>
      </w:r>
    </w:p>
    <w:p>
      <w:pPr>
        <w:spacing w:after="120" w:line="276" w:lineRule="auto"/>
      </w:pPr>
      <w:r>
        <w:rPr>
          <w:rFonts w:ascii="Times New Roman" w:hAnsi="Times New Roman"/>
          <w:b w:val="0"/>
          <w:i w:val="0"/>
          <w:sz w:val="22"/>
        </w:rPr>
        <w:t>Yanıt dağılımı incelendiğinde; Kesinlikle Katılıyorum seçeneğinin 168 katılımcı (%42,1), Katılıyorum seçeneğinin 39 katılımcı (%9,8), Kararsızım seçeneğinin 41 katılımcı (%10,3), Katılmıyorum seçeneğinin 21 katılımcı (%5,3) ve Kesinlikle Katılmıyorum seçeneğinin 130 katılımcı (%32,6)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3,24/5,00 olması, olumlu görüş oranının %51,9, kararsız görüş oranının %10,3 ve olumsuz görüş oranının %37,8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168</w:t>
            </w:r>
          </w:p>
        </w:tc>
        <w:tc>
          <w:tcPr>
            <w:tcW w:type="dxa" w:w="1701"/>
            <w:vAlign w:val="center"/>
          </w:tcPr>
          <w:p>
            <w:pPr>
              <w:jc w:val="center"/>
            </w:pPr>
            <w:r/>
            <w:r>
              <w:rPr>
                <w:rFonts w:ascii="Times New Roman" w:hAnsi="Times New Roman"/>
                <w:b w:val="0"/>
                <w:sz w:val="16"/>
              </w:rPr>
              <w:t>%42,1</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39</w:t>
            </w:r>
          </w:p>
        </w:tc>
        <w:tc>
          <w:tcPr>
            <w:tcW w:type="dxa" w:w="1701"/>
            <w:vAlign w:val="center"/>
          </w:tcPr>
          <w:p>
            <w:pPr>
              <w:jc w:val="center"/>
            </w:pPr>
            <w:r/>
            <w:r>
              <w:rPr>
                <w:rFonts w:ascii="Times New Roman" w:hAnsi="Times New Roman"/>
                <w:b w:val="0"/>
                <w:sz w:val="16"/>
              </w:rPr>
              <w:t>%9,8</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41</w:t>
            </w:r>
          </w:p>
        </w:tc>
        <w:tc>
          <w:tcPr>
            <w:tcW w:type="dxa" w:w="1701"/>
            <w:vAlign w:val="center"/>
          </w:tcPr>
          <w:p>
            <w:pPr>
              <w:jc w:val="center"/>
            </w:pPr>
            <w:r/>
            <w:r>
              <w:rPr>
                <w:rFonts w:ascii="Times New Roman" w:hAnsi="Times New Roman"/>
                <w:b w:val="0"/>
                <w:sz w:val="16"/>
              </w:rPr>
              <w:t>%10,3</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21</w:t>
            </w:r>
          </w:p>
        </w:tc>
        <w:tc>
          <w:tcPr>
            <w:tcW w:type="dxa" w:w="1701"/>
            <w:vAlign w:val="center"/>
          </w:tcPr>
          <w:p>
            <w:pPr>
              <w:jc w:val="center"/>
            </w:pPr>
            <w:r/>
            <w:r>
              <w:rPr>
                <w:rFonts w:ascii="Times New Roman" w:hAnsi="Times New Roman"/>
                <w:b w:val="0"/>
                <w:sz w:val="16"/>
              </w:rPr>
              <w:t>%5,3</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130</w:t>
            </w:r>
          </w:p>
        </w:tc>
        <w:tc>
          <w:tcPr>
            <w:tcW w:type="dxa" w:w="1701"/>
            <w:vAlign w:val="center"/>
          </w:tcPr>
          <w:p>
            <w:pPr>
              <w:jc w:val="center"/>
            </w:pPr>
            <w:r/>
            <w:r>
              <w:rPr>
                <w:rFonts w:ascii="Times New Roman" w:hAnsi="Times New Roman"/>
                <w:b w:val="0"/>
                <w:sz w:val="16"/>
              </w:rPr>
              <w:t>%32,6</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3,24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6" name="Picture 16"/>
            <wp:cNvGraphicFramePr>
              <a:graphicFrameLocks noChangeAspect="1"/>
            </wp:cNvGraphicFramePr>
            <a:graphic>
              <a:graphicData uri="http://schemas.openxmlformats.org/drawingml/2006/picture">
                <pic:pic>
                  <pic:nvPicPr>
                    <pic:cNvPr id="0" name="madde_13.png"/>
                    <pic:cNvPicPr/>
                  </pic:nvPicPr>
                  <pic:blipFill>
                    <a:blip r:embed="rId25"/>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14’e İlişkin Bulgular</w:t>
      </w:r>
    </w:p>
    <w:p>
      <w:pPr>
        <w:spacing w:after="120" w:line="276" w:lineRule="auto"/>
      </w:pPr>
      <w:r>
        <w:rPr>
          <w:rFonts w:ascii="Times New Roman" w:hAnsi="Times New Roman"/>
          <w:b w:val="0"/>
          <w:i/>
          <w:sz w:val="22"/>
        </w:rPr>
        <w:t>(Öğretim üyesi, derslerde hayvan refahı ve etik kurallar konusunda farkındalık oluşturmaktadır.)</w:t>
      </w:r>
    </w:p>
    <w:p>
      <w:pPr>
        <w:spacing w:after="120" w:line="276" w:lineRule="auto"/>
      </w:pPr>
      <w:r>
        <w:rPr>
          <w:rFonts w:ascii="Times New Roman" w:hAnsi="Times New Roman"/>
          <w:b w:val="0"/>
          <w:i w:val="0"/>
          <w:sz w:val="22"/>
        </w:rPr>
        <w:t>Yanıt dağılımı incelendiğinde; Kesinlikle Katılıyorum seçeneğinin 186 katılımcı (%46,6), Katılıyorum seçeneğinin 38 katılımcı (%9,5), Kararsızım seçeneğinin 20 katılımcı (%5,0), Katılmıyorum seçeneğinin 32 katılımcı (%8,0) ve Kesinlikle Katılmıyorum seçeneğinin 123 katılımcı (%30,8)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3,33/5,00 olması, olumlu görüş oranının %56,1, kararsız görüş oranının %5,0 ve olumsuz görüş oranının %38,8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186</w:t>
            </w:r>
          </w:p>
        </w:tc>
        <w:tc>
          <w:tcPr>
            <w:tcW w:type="dxa" w:w="1701"/>
            <w:vAlign w:val="center"/>
          </w:tcPr>
          <w:p>
            <w:pPr>
              <w:jc w:val="center"/>
            </w:pPr>
            <w:r/>
            <w:r>
              <w:rPr>
                <w:rFonts w:ascii="Times New Roman" w:hAnsi="Times New Roman"/>
                <w:b w:val="0"/>
                <w:sz w:val="16"/>
              </w:rPr>
              <w:t>%46,6</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38</w:t>
            </w:r>
          </w:p>
        </w:tc>
        <w:tc>
          <w:tcPr>
            <w:tcW w:type="dxa" w:w="1701"/>
            <w:vAlign w:val="center"/>
          </w:tcPr>
          <w:p>
            <w:pPr>
              <w:jc w:val="center"/>
            </w:pPr>
            <w:r/>
            <w:r>
              <w:rPr>
                <w:rFonts w:ascii="Times New Roman" w:hAnsi="Times New Roman"/>
                <w:b w:val="0"/>
                <w:sz w:val="16"/>
              </w:rPr>
              <w:t>%9,5</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20</w:t>
            </w:r>
          </w:p>
        </w:tc>
        <w:tc>
          <w:tcPr>
            <w:tcW w:type="dxa" w:w="1701"/>
            <w:vAlign w:val="center"/>
          </w:tcPr>
          <w:p>
            <w:pPr>
              <w:jc w:val="center"/>
            </w:pPr>
            <w:r/>
            <w:r>
              <w:rPr>
                <w:rFonts w:ascii="Times New Roman" w:hAnsi="Times New Roman"/>
                <w:b w:val="0"/>
                <w:sz w:val="16"/>
              </w:rPr>
              <w:t>%5,0</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32</w:t>
            </w:r>
          </w:p>
        </w:tc>
        <w:tc>
          <w:tcPr>
            <w:tcW w:type="dxa" w:w="1701"/>
            <w:vAlign w:val="center"/>
          </w:tcPr>
          <w:p>
            <w:pPr>
              <w:jc w:val="center"/>
            </w:pPr>
            <w:r/>
            <w:r>
              <w:rPr>
                <w:rFonts w:ascii="Times New Roman" w:hAnsi="Times New Roman"/>
                <w:b w:val="0"/>
                <w:sz w:val="16"/>
              </w:rPr>
              <w:t>%8,0</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123</w:t>
            </w:r>
          </w:p>
        </w:tc>
        <w:tc>
          <w:tcPr>
            <w:tcW w:type="dxa" w:w="1701"/>
            <w:vAlign w:val="center"/>
          </w:tcPr>
          <w:p>
            <w:pPr>
              <w:jc w:val="center"/>
            </w:pPr>
            <w:r/>
            <w:r>
              <w:rPr>
                <w:rFonts w:ascii="Times New Roman" w:hAnsi="Times New Roman"/>
                <w:b w:val="0"/>
                <w:sz w:val="16"/>
              </w:rPr>
              <w:t>%30,8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3,33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7" name="Picture 17"/>
            <wp:cNvGraphicFramePr>
              <a:graphicFrameLocks noChangeAspect="1"/>
            </wp:cNvGraphicFramePr>
            <a:graphic>
              <a:graphicData uri="http://schemas.openxmlformats.org/drawingml/2006/picture">
                <pic:pic>
                  <pic:nvPicPr>
                    <pic:cNvPr id="0" name="madde_14.png"/>
                    <pic:cNvPicPr/>
                  </pic:nvPicPr>
                  <pic:blipFill>
                    <a:blip r:embed="rId26"/>
                    <a:stretch>
                      <a:fillRect/>
                    </a:stretch>
                  </pic:blipFill>
                  <pic:spPr>
                    <a:xfrm>
                      <a:off x="0" y="0"/>
                      <a:ext cx="5303520" cy="2807746"/>
                    </a:xfrm>
                    <a:prstGeom prst="rect"/>
                  </pic:spPr>
                </pic:pic>
              </a:graphicData>
            </a:graphic>
          </wp:inline>
        </w:drawing>
      </w:r>
    </w:p>
    <w:p>
      <w:pPr>
        <w:pStyle w:val="Heading2"/>
        <w:spacing w:after="120" w:line="276" w:lineRule="auto"/>
      </w:pPr>
      <w:r>
        <w:rPr>
          <w:rFonts w:ascii="Times New Roman" w:hAnsi="Times New Roman"/>
        </w:rPr>
        <w:t>5.4. İletişim, ölçme-değerlendirme ve geri bildirim</w:t>
      </w:r>
    </w:p>
    <w:p>
      <w:pPr>
        <w:spacing w:after="120" w:line="276" w:lineRule="auto"/>
      </w:pPr>
      <w:r>
        <w:rPr>
          <w:rFonts w:ascii="Times New Roman" w:hAnsi="Times New Roman"/>
          <w:b w:val="0"/>
          <w:i w:val="0"/>
          <w:sz w:val="22"/>
        </w:rPr>
        <w:t>Bu boyutta yer alan maddelerin genel ortalaması 3,29/5,00, olumlu görüş oranı %54,7, kararsız görüş oranı %6,7 ve olumsuz görüş oranı %38,6 olarak hesaplanmıştır. Bu sonuçlar, ilgili boyutta genel eğilimin orta düzeyde olduğunu; olumlu görüşlerin çoğunlukta olmakla birlikte geliştirmeye açık alanların sürdüğünü göstermektedir.</w:t>
      </w:r>
    </w:p>
    <w:p>
      <w:pPr>
        <w:pStyle w:val="Heading3"/>
        <w:spacing w:after="120" w:line="276" w:lineRule="auto"/>
      </w:pPr>
      <w:r>
        <w:rPr>
          <w:rFonts w:ascii="Times New Roman" w:hAnsi="Times New Roman"/>
        </w:rPr>
        <w:t>Madde 15’e İlişkin Bulgular</w:t>
      </w:r>
    </w:p>
    <w:p>
      <w:pPr>
        <w:spacing w:after="120" w:line="276" w:lineRule="auto"/>
      </w:pPr>
      <w:r>
        <w:rPr>
          <w:rFonts w:ascii="Times New Roman" w:hAnsi="Times New Roman"/>
          <w:b w:val="0"/>
          <w:i/>
          <w:sz w:val="22"/>
        </w:rPr>
        <w:t>(Öğretim üyesi, öğrencilerle olan iletişiminde saygılı ve profesyonel bir tutum sergilemektedir.)</w:t>
      </w:r>
    </w:p>
    <w:p>
      <w:pPr>
        <w:spacing w:after="120" w:line="276" w:lineRule="auto"/>
      </w:pPr>
      <w:r>
        <w:rPr>
          <w:rFonts w:ascii="Times New Roman" w:hAnsi="Times New Roman"/>
          <w:b w:val="0"/>
          <w:i w:val="0"/>
          <w:sz w:val="22"/>
        </w:rPr>
        <w:t>Yanıt dağılımı incelendiğinde; Kesinlikle Katılıyorum seçeneğinin 188 katılımcı (%47,1), Katılıyorum seçeneğinin 28 katılımcı (%7,0), Kararsızım seçeneğinin 21 katılımcı (%5,3), Katılmıyorum seçeneğinin 17 katılımcı (%4,3) ve Kesinlikle Katılmıyorum seçeneğinin 145 katılımcı (%36,3)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3,24/5,00 olması, olumlu görüş oranının %54,1, kararsız görüş oranının %5,3 ve olumsuz görüş oranının %40,6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188</w:t>
            </w:r>
          </w:p>
        </w:tc>
        <w:tc>
          <w:tcPr>
            <w:tcW w:type="dxa" w:w="1701"/>
            <w:vAlign w:val="center"/>
          </w:tcPr>
          <w:p>
            <w:pPr>
              <w:jc w:val="center"/>
            </w:pPr>
            <w:r/>
            <w:r>
              <w:rPr>
                <w:rFonts w:ascii="Times New Roman" w:hAnsi="Times New Roman"/>
                <w:b w:val="0"/>
                <w:sz w:val="16"/>
              </w:rPr>
              <w:t>%47,1</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28</w:t>
            </w:r>
          </w:p>
        </w:tc>
        <w:tc>
          <w:tcPr>
            <w:tcW w:type="dxa" w:w="1701"/>
            <w:vAlign w:val="center"/>
          </w:tcPr>
          <w:p>
            <w:pPr>
              <w:jc w:val="center"/>
            </w:pPr>
            <w:r/>
            <w:r>
              <w:rPr>
                <w:rFonts w:ascii="Times New Roman" w:hAnsi="Times New Roman"/>
                <w:b w:val="0"/>
                <w:sz w:val="16"/>
              </w:rPr>
              <w:t>%7,0</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21</w:t>
            </w:r>
          </w:p>
        </w:tc>
        <w:tc>
          <w:tcPr>
            <w:tcW w:type="dxa" w:w="1701"/>
            <w:vAlign w:val="center"/>
          </w:tcPr>
          <w:p>
            <w:pPr>
              <w:jc w:val="center"/>
            </w:pPr>
            <w:r/>
            <w:r>
              <w:rPr>
                <w:rFonts w:ascii="Times New Roman" w:hAnsi="Times New Roman"/>
                <w:b w:val="0"/>
                <w:sz w:val="16"/>
              </w:rPr>
              <w:t>%5,3</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17</w:t>
            </w:r>
          </w:p>
        </w:tc>
        <w:tc>
          <w:tcPr>
            <w:tcW w:type="dxa" w:w="1701"/>
            <w:vAlign w:val="center"/>
          </w:tcPr>
          <w:p>
            <w:pPr>
              <w:jc w:val="center"/>
            </w:pPr>
            <w:r/>
            <w:r>
              <w:rPr>
                <w:rFonts w:ascii="Times New Roman" w:hAnsi="Times New Roman"/>
                <w:b w:val="0"/>
                <w:sz w:val="16"/>
              </w:rPr>
              <w:t>%4,3</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145</w:t>
            </w:r>
          </w:p>
        </w:tc>
        <w:tc>
          <w:tcPr>
            <w:tcW w:type="dxa" w:w="1701"/>
            <w:vAlign w:val="center"/>
          </w:tcPr>
          <w:p>
            <w:pPr>
              <w:jc w:val="center"/>
            </w:pPr>
            <w:r/>
            <w:r>
              <w:rPr>
                <w:rFonts w:ascii="Times New Roman" w:hAnsi="Times New Roman"/>
                <w:b w:val="0"/>
                <w:sz w:val="16"/>
              </w:rPr>
              <w:t>%36,3</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3,24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8" name="Picture 18"/>
            <wp:cNvGraphicFramePr>
              <a:graphicFrameLocks noChangeAspect="1"/>
            </wp:cNvGraphicFramePr>
            <a:graphic>
              <a:graphicData uri="http://schemas.openxmlformats.org/drawingml/2006/picture">
                <pic:pic>
                  <pic:nvPicPr>
                    <pic:cNvPr id="0" name="madde_15.png"/>
                    <pic:cNvPicPr/>
                  </pic:nvPicPr>
                  <pic:blipFill>
                    <a:blip r:embed="rId27"/>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16’e İlişkin Bulgular</w:t>
      </w:r>
    </w:p>
    <w:p>
      <w:pPr>
        <w:spacing w:after="120" w:line="276" w:lineRule="auto"/>
      </w:pPr>
      <w:r>
        <w:rPr>
          <w:rFonts w:ascii="Times New Roman" w:hAnsi="Times New Roman"/>
          <w:b w:val="0"/>
          <w:i/>
          <w:sz w:val="22"/>
        </w:rPr>
        <w:t>(Sınav soruları, dersin hedeflerini ve anlatılan konuları temsil edecek kapsamdadır.)</w:t>
      </w:r>
    </w:p>
    <w:p>
      <w:pPr>
        <w:spacing w:after="120" w:line="276" w:lineRule="auto"/>
      </w:pPr>
      <w:r>
        <w:rPr>
          <w:rFonts w:ascii="Times New Roman" w:hAnsi="Times New Roman"/>
          <w:b w:val="0"/>
          <w:i w:val="0"/>
          <w:sz w:val="22"/>
        </w:rPr>
        <w:t>Yanıt dağılımı incelendiğinde; Kesinlikle Katılıyorum seçeneğinin 182 katılımcı (%45,6), Katılıyorum seçeneğinin 33 katılımcı (%8,3), Kararsızım seçeneğinin 24 katılımcı (%6,0), Katılmıyorum seçeneğinin 24 katılımcı (%6,0) ve Kesinlikle Katılmıyorum seçeneğinin 136 katılımcı (%34,1)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3,25/5,00 olması, olumlu görüş oranının %53,9, kararsız görüş oranının %6,0 ve olumsuz görüş oranının %40,1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182</w:t>
            </w:r>
          </w:p>
        </w:tc>
        <w:tc>
          <w:tcPr>
            <w:tcW w:type="dxa" w:w="1701"/>
            <w:vAlign w:val="center"/>
          </w:tcPr>
          <w:p>
            <w:pPr>
              <w:jc w:val="center"/>
            </w:pPr>
            <w:r/>
            <w:r>
              <w:rPr>
                <w:rFonts w:ascii="Times New Roman" w:hAnsi="Times New Roman"/>
                <w:b w:val="0"/>
                <w:sz w:val="16"/>
              </w:rPr>
              <w:t>%45,6</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33</w:t>
            </w:r>
          </w:p>
        </w:tc>
        <w:tc>
          <w:tcPr>
            <w:tcW w:type="dxa" w:w="1701"/>
            <w:vAlign w:val="center"/>
          </w:tcPr>
          <w:p>
            <w:pPr>
              <w:jc w:val="center"/>
            </w:pPr>
            <w:r/>
            <w:r>
              <w:rPr>
                <w:rFonts w:ascii="Times New Roman" w:hAnsi="Times New Roman"/>
                <w:b w:val="0"/>
                <w:sz w:val="16"/>
              </w:rPr>
              <w:t>%8,3</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24</w:t>
            </w:r>
          </w:p>
        </w:tc>
        <w:tc>
          <w:tcPr>
            <w:tcW w:type="dxa" w:w="1701"/>
            <w:vAlign w:val="center"/>
          </w:tcPr>
          <w:p>
            <w:pPr>
              <w:jc w:val="center"/>
            </w:pPr>
            <w:r/>
            <w:r>
              <w:rPr>
                <w:rFonts w:ascii="Times New Roman" w:hAnsi="Times New Roman"/>
                <w:b w:val="0"/>
                <w:sz w:val="16"/>
              </w:rPr>
              <w:t>%6,0</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24</w:t>
            </w:r>
          </w:p>
        </w:tc>
        <w:tc>
          <w:tcPr>
            <w:tcW w:type="dxa" w:w="1701"/>
            <w:vAlign w:val="center"/>
          </w:tcPr>
          <w:p>
            <w:pPr>
              <w:jc w:val="center"/>
            </w:pPr>
            <w:r/>
            <w:r>
              <w:rPr>
                <w:rFonts w:ascii="Times New Roman" w:hAnsi="Times New Roman"/>
                <w:b w:val="0"/>
                <w:sz w:val="16"/>
              </w:rPr>
              <w:t>%6,0</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136</w:t>
            </w:r>
          </w:p>
        </w:tc>
        <w:tc>
          <w:tcPr>
            <w:tcW w:type="dxa" w:w="1701"/>
            <w:vAlign w:val="center"/>
          </w:tcPr>
          <w:p>
            <w:pPr>
              <w:jc w:val="center"/>
            </w:pPr>
            <w:r/>
            <w:r>
              <w:rPr>
                <w:rFonts w:ascii="Times New Roman" w:hAnsi="Times New Roman"/>
                <w:b w:val="0"/>
                <w:sz w:val="16"/>
              </w:rPr>
              <w:t>%34,1</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3,25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19" name="Picture 19"/>
            <wp:cNvGraphicFramePr>
              <a:graphicFrameLocks noChangeAspect="1"/>
            </wp:cNvGraphicFramePr>
            <a:graphic>
              <a:graphicData uri="http://schemas.openxmlformats.org/drawingml/2006/picture">
                <pic:pic>
                  <pic:nvPicPr>
                    <pic:cNvPr id="0" name="madde_16.png"/>
                    <pic:cNvPicPr/>
                  </pic:nvPicPr>
                  <pic:blipFill>
                    <a:blip r:embed="rId28"/>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17’e İlişkin Bulgular</w:t>
      </w:r>
    </w:p>
    <w:p>
      <w:pPr>
        <w:spacing w:after="120" w:line="276" w:lineRule="auto"/>
      </w:pPr>
      <w:r>
        <w:rPr>
          <w:rFonts w:ascii="Times New Roman" w:hAnsi="Times New Roman"/>
          <w:b w:val="0"/>
          <w:i/>
          <w:sz w:val="22"/>
        </w:rPr>
        <w:t>(Sınavların değerlendirilmesinde objektif ve adil bir tutum izlenmektedir.)</w:t>
      </w:r>
    </w:p>
    <w:p>
      <w:pPr>
        <w:spacing w:after="120" w:line="276" w:lineRule="auto"/>
      </w:pPr>
      <w:r>
        <w:rPr>
          <w:rFonts w:ascii="Times New Roman" w:hAnsi="Times New Roman"/>
          <w:b w:val="0"/>
          <w:i w:val="0"/>
          <w:sz w:val="22"/>
        </w:rPr>
        <w:t>Yanıt dağılımı incelendiğinde; Kesinlikle Katılıyorum seçeneğinin 190 katılımcı (%47,6), Katılıyorum seçeneğinin 33 katılımcı (%8,3), Kararsızım seçeneğinin 27 katılımcı (%6,8), Katılmıyorum seçeneğinin 18 katılımcı (%4,5) ve Kesinlikle Katılmıyorum seçeneğinin 131 katılımcı (%32,8)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3,33/5,00 olması, olumlu görüş oranının %55,9, kararsız görüş oranının %6,8 ve olumsuz görüş oranının %37,3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190</w:t>
            </w:r>
          </w:p>
        </w:tc>
        <w:tc>
          <w:tcPr>
            <w:tcW w:type="dxa" w:w="1701"/>
            <w:vAlign w:val="center"/>
          </w:tcPr>
          <w:p>
            <w:pPr>
              <w:jc w:val="center"/>
            </w:pPr>
            <w:r/>
            <w:r>
              <w:rPr>
                <w:rFonts w:ascii="Times New Roman" w:hAnsi="Times New Roman"/>
                <w:b w:val="0"/>
                <w:sz w:val="16"/>
              </w:rPr>
              <w:t>%47,6</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33</w:t>
            </w:r>
          </w:p>
        </w:tc>
        <w:tc>
          <w:tcPr>
            <w:tcW w:type="dxa" w:w="1701"/>
            <w:vAlign w:val="center"/>
          </w:tcPr>
          <w:p>
            <w:pPr>
              <w:jc w:val="center"/>
            </w:pPr>
            <w:r/>
            <w:r>
              <w:rPr>
                <w:rFonts w:ascii="Times New Roman" w:hAnsi="Times New Roman"/>
                <w:b w:val="0"/>
                <w:sz w:val="16"/>
              </w:rPr>
              <w:t>%8,3</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27</w:t>
            </w:r>
          </w:p>
        </w:tc>
        <w:tc>
          <w:tcPr>
            <w:tcW w:type="dxa" w:w="1701"/>
            <w:vAlign w:val="center"/>
          </w:tcPr>
          <w:p>
            <w:pPr>
              <w:jc w:val="center"/>
            </w:pPr>
            <w:r/>
            <w:r>
              <w:rPr>
                <w:rFonts w:ascii="Times New Roman" w:hAnsi="Times New Roman"/>
                <w:b w:val="0"/>
                <w:sz w:val="16"/>
              </w:rPr>
              <w:t>%6,8</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18</w:t>
            </w:r>
          </w:p>
        </w:tc>
        <w:tc>
          <w:tcPr>
            <w:tcW w:type="dxa" w:w="1701"/>
            <w:vAlign w:val="center"/>
          </w:tcPr>
          <w:p>
            <w:pPr>
              <w:jc w:val="center"/>
            </w:pPr>
            <w:r/>
            <w:r>
              <w:rPr>
                <w:rFonts w:ascii="Times New Roman" w:hAnsi="Times New Roman"/>
                <w:b w:val="0"/>
                <w:sz w:val="16"/>
              </w:rPr>
              <w:t>%4,5</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131</w:t>
            </w:r>
          </w:p>
        </w:tc>
        <w:tc>
          <w:tcPr>
            <w:tcW w:type="dxa" w:w="1701"/>
            <w:vAlign w:val="center"/>
          </w:tcPr>
          <w:p>
            <w:pPr>
              <w:jc w:val="center"/>
            </w:pPr>
            <w:r/>
            <w:r>
              <w:rPr>
                <w:rFonts w:ascii="Times New Roman" w:hAnsi="Times New Roman"/>
                <w:b w:val="0"/>
                <w:sz w:val="16"/>
              </w:rPr>
              <w:t>%32,8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3,33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20" name="Picture 20"/>
            <wp:cNvGraphicFramePr>
              <a:graphicFrameLocks noChangeAspect="1"/>
            </wp:cNvGraphicFramePr>
            <a:graphic>
              <a:graphicData uri="http://schemas.openxmlformats.org/drawingml/2006/picture">
                <pic:pic>
                  <pic:nvPicPr>
                    <pic:cNvPr id="0" name="madde_17.png"/>
                    <pic:cNvPicPr/>
                  </pic:nvPicPr>
                  <pic:blipFill>
                    <a:blip r:embed="rId29"/>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18’e İlişkin Bulgular</w:t>
      </w:r>
    </w:p>
    <w:p>
      <w:pPr>
        <w:spacing w:after="120" w:line="276" w:lineRule="auto"/>
      </w:pPr>
      <w:r>
        <w:rPr>
          <w:rFonts w:ascii="Times New Roman" w:hAnsi="Times New Roman"/>
          <w:b w:val="0"/>
          <w:i/>
          <w:sz w:val="22"/>
        </w:rPr>
        <w:t>(Ödev, proje veya sınav sonuçlarına dair eksiklerin giderilmesi için geri bildirim sağlanmaktadır.)</w:t>
      </w:r>
    </w:p>
    <w:p>
      <w:pPr>
        <w:spacing w:after="120" w:line="276" w:lineRule="auto"/>
      </w:pPr>
      <w:r>
        <w:rPr>
          <w:rFonts w:ascii="Times New Roman" w:hAnsi="Times New Roman"/>
          <w:b w:val="0"/>
          <w:i w:val="0"/>
          <w:sz w:val="22"/>
        </w:rPr>
        <w:t>Yanıt dağılımı incelendiğinde; Kesinlikle Katılıyorum seçeneğinin 183 katılımcı (%45,9), Katılıyorum seçeneğinin 29 katılımcı (%7,3), Kararsızım seçeneğinin 31 katılımcı (%7,8), Katılmıyorum seçeneğinin 25 katılımcı (%6,3) ve Kesinlikle Katılmıyorum seçeneğinin 131 katılımcı (%32,8)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3,27/5,00 olması, olumlu görüş oranının %53,1, kararsız görüş oranının %7,8 ve olumsuz görüş oranının %39,1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183</w:t>
            </w:r>
          </w:p>
        </w:tc>
        <w:tc>
          <w:tcPr>
            <w:tcW w:type="dxa" w:w="1701"/>
            <w:vAlign w:val="center"/>
          </w:tcPr>
          <w:p>
            <w:pPr>
              <w:jc w:val="center"/>
            </w:pPr>
            <w:r/>
            <w:r>
              <w:rPr>
                <w:rFonts w:ascii="Times New Roman" w:hAnsi="Times New Roman"/>
                <w:b w:val="0"/>
                <w:sz w:val="16"/>
              </w:rPr>
              <w:t>%45,9</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29</w:t>
            </w:r>
          </w:p>
        </w:tc>
        <w:tc>
          <w:tcPr>
            <w:tcW w:type="dxa" w:w="1701"/>
            <w:vAlign w:val="center"/>
          </w:tcPr>
          <w:p>
            <w:pPr>
              <w:jc w:val="center"/>
            </w:pPr>
            <w:r/>
            <w:r>
              <w:rPr>
                <w:rFonts w:ascii="Times New Roman" w:hAnsi="Times New Roman"/>
                <w:b w:val="0"/>
                <w:sz w:val="16"/>
              </w:rPr>
              <w:t>%7,3</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31</w:t>
            </w:r>
          </w:p>
        </w:tc>
        <w:tc>
          <w:tcPr>
            <w:tcW w:type="dxa" w:w="1701"/>
            <w:vAlign w:val="center"/>
          </w:tcPr>
          <w:p>
            <w:pPr>
              <w:jc w:val="center"/>
            </w:pPr>
            <w:r/>
            <w:r>
              <w:rPr>
                <w:rFonts w:ascii="Times New Roman" w:hAnsi="Times New Roman"/>
                <w:b w:val="0"/>
                <w:sz w:val="16"/>
              </w:rPr>
              <w:t>%7,8</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25</w:t>
            </w:r>
          </w:p>
        </w:tc>
        <w:tc>
          <w:tcPr>
            <w:tcW w:type="dxa" w:w="1701"/>
            <w:vAlign w:val="center"/>
          </w:tcPr>
          <w:p>
            <w:pPr>
              <w:jc w:val="center"/>
            </w:pPr>
            <w:r/>
            <w:r>
              <w:rPr>
                <w:rFonts w:ascii="Times New Roman" w:hAnsi="Times New Roman"/>
                <w:b w:val="0"/>
                <w:sz w:val="16"/>
              </w:rPr>
              <w:t>%6,3</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131</w:t>
            </w:r>
          </w:p>
        </w:tc>
        <w:tc>
          <w:tcPr>
            <w:tcW w:type="dxa" w:w="1701"/>
            <w:vAlign w:val="center"/>
          </w:tcPr>
          <w:p>
            <w:pPr>
              <w:jc w:val="center"/>
            </w:pPr>
            <w:r/>
            <w:r>
              <w:rPr>
                <w:rFonts w:ascii="Times New Roman" w:hAnsi="Times New Roman"/>
                <w:b w:val="0"/>
                <w:sz w:val="16"/>
              </w:rPr>
              <w:t>%32,8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3,27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21" name="Picture 21"/>
            <wp:cNvGraphicFramePr>
              <a:graphicFrameLocks noChangeAspect="1"/>
            </wp:cNvGraphicFramePr>
            <a:graphic>
              <a:graphicData uri="http://schemas.openxmlformats.org/drawingml/2006/picture">
                <pic:pic>
                  <pic:nvPicPr>
                    <pic:cNvPr id="0" name="madde_18.png"/>
                    <pic:cNvPicPr/>
                  </pic:nvPicPr>
                  <pic:blipFill>
                    <a:blip r:embed="rId30"/>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19’e İlişkin Bulgular</w:t>
      </w:r>
    </w:p>
    <w:p>
      <w:pPr>
        <w:spacing w:after="120" w:line="276" w:lineRule="auto"/>
      </w:pPr>
      <w:r>
        <w:rPr>
          <w:rFonts w:ascii="Times New Roman" w:hAnsi="Times New Roman"/>
          <w:b w:val="0"/>
          <w:i/>
          <w:sz w:val="22"/>
        </w:rPr>
        <w:t>(Öğrencinin akademik gelişimi için ders dışı saatlerde (danışmanlık saati vb.) ulaşılabilirdir.)</w:t>
      </w:r>
    </w:p>
    <w:p>
      <w:pPr>
        <w:spacing w:after="120" w:line="276" w:lineRule="auto"/>
      </w:pPr>
      <w:r>
        <w:rPr>
          <w:rFonts w:ascii="Times New Roman" w:hAnsi="Times New Roman"/>
          <w:b w:val="0"/>
          <w:i w:val="0"/>
          <w:sz w:val="22"/>
        </w:rPr>
        <w:t>Yanıt dağılımı incelendiğinde; Kesinlikle Katılıyorum seçeneğinin 184 katılımcı (%46,1), Katılıyorum seçeneğinin 42 katılımcı (%10,5), Kararsızım seçeneğinin 30 katılımcı (%7,5), Katılmıyorum seçeneğinin 15 katılımcı (%3,8) ve Kesinlikle Katılmıyorum seçeneğinin 128 katılımcı (%32,1)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3,35/5,00 olması, olumlu görüş oranının %56,6, kararsız görüş oranının %7,5 ve olumsuz görüş oranının %35,8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184</w:t>
            </w:r>
          </w:p>
        </w:tc>
        <w:tc>
          <w:tcPr>
            <w:tcW w:type="dxa" w:w="1701"/>
            <w:vAlign w:val="center"/>
          </w:tcPr>
          <w:p>
            <w:pPr>
              <w:jc w:val="center"/>
            </w:pPr>
            <w:r/>
            <w:r>
              <w:rPr>
                <w:rFonts w:ascii="Times New Roman" w:hAnsi="Times New Roman"/>
                <w:b w:val="0"/>
                <w:sz w:val="16"/>
              </w:rPr>
              <w:t>%46,1</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42</w:t>
            </w:r>
          </w:p>
        </w:tc>
        <w:tc>
          <w:tcPr>
            <w:tcW w:type="dxa" w:w="1701"/>
            <w:vAlign w:val="center"/>
          </w:tcPr>
          <w:p>
            <w:pPr>
              <w:jc w:val="center"/>
            </w:pPr>
            <w:r/>
            <w:r>
              <w:rPr>
                <w:rFonts w:ascii="Times New Roman" w:hAnsi="Times New Roman"/>
                <w:b w:val="0"/>
                <w:sz w:val="16"/>
              </w:rPr>
              <w:t>%10,5</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30</w:t>
            </w:r>
          </w:p>
        </w:tc>
        <w:tc>
          <w:tcPr>
            <w:tcW w:type="dxa" w:w="1701"/>
            <w:vAlign w:val="center"/>
          </w:tcPr>
          <w:p>
            <w:pPr>
              <w:jc w:val="center"/>
            </w:pPr>
            <w:r/>
            <w:r>
              <w:rPr>
                <w:rFonts w:ascii="Times New Roman" w:hAnsi="Times New Roman"/>
                <w:b w:val="0"/>
                <w:sz w:val="16"/>
              </w:rPr>
              <w:t>%7,5</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15</w:t>
            </w:r>
          </w:p>
        </w:tc>
        <w:tc>
          <w:tcPr>
            <w:tcW w:type="dxa" w:w="1701"/>
            <w:vAlign w:val="center"/>
          </w:tcPr>
          <w:p>
            <w:pPr>
              <w:jc w:val="center"/>
            </w:pPr>
            <w:r/>
            <w:r>
              <w:rPr>
                <w:rFonts w:ascii="Times New Roman" w:hAnsi="Times New Roman"/>
                <w:b w:val="0"/>
                <w:sz w:val="16"/>
              </w:rPr>
              <w:t>%3,8</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128</w:t>
            </w:r>
          </w:p>
        </w:tc>
        <w:tc>
          <w:tcPr>
            <w:tcW w:type="dxa" w:w="1701"/>
            <w:vAlign w:val="center"/>
          </w:tcPr>
          <w:p>
            <w:pPr>
              <w:jc w:val="center"/>
            </w:pPr>
            <w:r/>
            <w:r>
              <w:rPr>
                <w:rFonts w:ascii="Times New Roman" w:hAnsi="Times New Roman"/>
                <w:b w:val="0"/>
                <w:sz w:val="16"/>
              </w:rPr>
              <w:t>%32,1</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3,35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22" name="Picture 22"/>
            <wp:cNvGraphicFramePr>
              <a:graphicFrameLocks noChangeAspect="1"/>
            </wp:cNvGraphicFramePr>
            <a:graphic>
              <a:graphicData uri="http://schemas.openxmlformats.org/drawingml/2006/picture">
                <pic:pic>
                  <pic:nvPicPr>
                    <pic:cNvPr id="0" name="madde_19.png"/>
                    <pic:cNvPicPr/>
                  </pic:nvPicPr>
                  <pic:blipFill>
                    <a:blip r:embed="rId31"/>
                    <a:stretch>
                      <a:fillRect/>
                    </a:stretch>
                  </pic:blipFill>
                  <pic:spPr>
                    <a:xfrm>
                      <a:off x="0" y="0"/>
                      <a:ext cx="5303520" cy="2807746"/>
                    </a:xfrm>
                    <a:prstGeom prst="rect"/>
                  </pic:spPr>
                </pic:pic>
              </a:graphicData>
            </a:graphic>
          </wp:inline>
        </w:drawing>
      </w:r>
    </w:p>
    <w:p>
      <w:pPr>
        <w:pStyle w:val="Heading2"/>
        <w:spacing w:after="120" w:line="276" w:lineRule="auto"/>
      </w:pPr>
      <w:r>
        <w:rPr>
          <w:rFonts w:ascii="Times New Roman" w:hAnsi="Times New Roman"/>
        </w:rPr>
        <w:t>5.5. Mesleki katkı ve genel memnuniyet</w:t>
      </w:r>
    </w:p>
    <w:p>
      <w:pPr>
        <w:spacing w:after="120" w:line="276" w:lineRule="auto"/>
      </w:pPr>
      <w:r>
        <w:rPr>
          <w:rFonts w:ascii="Times New Roman" w:hAnsi="Times New Roman"/>
          <w:b w:val="0"/>
          <w:i w:val="0"/>
          <w:sz w:val="22"/>
        </w:rPr>
        <w:t>Bu boyutta yer alan maddelerin genel ortalaması 3,25/5,00, olumlu görüş oranı %53,5, kararsız görüş oranı %5,9 ve olumsuz görüş oranı %40,6 olarak hesaplanmıştır. Bu sonuçlar, ilgili boyutta genel eğilimin orta düzeyde olduğunu; olumlu görüşlerin çoğunlukta olmakla birlikte geliştirmeye açık alanların sürdüğünü göstermektedir.</w:t>
      </w:r>
    </w:p>
    <w:p>
      <w:pPr>
        <w:pStyle w:val="Heading3"/>
        <w:spacing w:after="120" w:line="276" w:lineRule="auto"/>
      </w:pPr>
      <w:r>
        <w:rPr>
          <w:rFonts w:ascii="Times New Roman" w:hAnsi="Times New Roman"/>
        </w:rPr>
        <w:t>Madde 20’e İlişkin Bulgular</w:t>
      </w:r>
    </w:p>
    <w:p>
      <w:pPr>
        <w:spacing w:after="120" w:line="276" w:lineRule="auto"/>
      </w:pPr>
      <w:r>
        <w:rPr>
          <w:rFonts w:ascii="Times New Roman" w:hAnsi="Times New Roman"/>
          <w:b w:val="0"/>
          <w:i/>
          <w:sz w:val="22"/>
        </w:rPr>
        <w:t>(Öğretim üyesi, bir veteriner hekim adayı olarak mesleki gelişimime önemli katkı sağlamıştır.)</w:t>
      </w:r>
    </w:p>
    <w:p>
      <w:pPr>
        <w:spacing w:after="120" w:line="276" w:lineRule="auto"/>
      </w:pPr>
      <w:r>
        <w:rPr>
          <w:rFonts w:ascii="Times New Roman" w:hAnsi="Times New Roman"/>
          <w:b w:val="0"/>
          <w:i w:val="0"/>
          <w:sz w:val="22"/>
        </w:rPr>
        <w:t>Yanıt dağılımı incelendiğinde; Kesinlikle Katılıyorum seçeneğinin 192 katılımcı (%48,1), Katılıyorum seçeneğinin 27 katılımcı (%6,8), Kararsızım seçeneğinin 20 katılımcı (%5,0), Katılmıyorum seçeneğinin 19 katılımcı (%4,8) ve Kesinlikle Katılmıyorum seçeneğinin 141 katılımcı (%35,3)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3,28/5,00 olması, olumlu görüş oranının %54,9, kararsız görüş oranının %5,0 ve olumsuz görüş oranının %40,1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192</w:t>
            </w:r>
          </w:p>
        </w:tc>
        <w:tc>
          <w:tcPr>
            <w:tcW w:type="dxa" w:w="1701"/>
            <w:vAlign w:val="center"/>
          </w:tcPr>
          <w:p>
            <w:pPr>
              <w:jc w:val="center"/>
            </w:pPr>
            <w:r/>
            <w:r>
              <w:rPr>
                <w:rFonts w:ascii="Times New Roman" w:hAnsi="Times New Roman"/>
                <w:b w:val="0"/>
                <w:sz w:val="16"/>
              </w:rPr>
              <w:t>%48,1</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27</w:t>
            </w:r>
          </w:p>
        </w:tc>
        <w:tc>
          <w:tcPr>
            <w:tcW w:type="dxa" w:w="1701"/>
            <w:vAlign w:val="center"/>
          </w:tcPr>
          <w:p>
            <w:pPr>
              <w:jc w:val="center"/>
            </w:pPr>
            <w:r/>
            <w:r>
              <w:rPr>
                <w:rFonts w:ascii="Times New Roman" w:hAnsi="Times New Roman"/>
                <w:b w:val="0"/>
                <w:sz w:val="16"/>
              </w:rPr>
              <w:t>%6,8</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20</w:t>
            </w:r>
          </w:p>
        </w:tc>
        <w:tc>
          <w:tcPr>
            <w:tcW w:type="dxa" w:w="1701"/>
            <w:vAlign w:val="center"/>
          </w:tcPr>
          <w:p>
            <w:pPr>
              <w:jc w:val="center"/>
            </w:pPr>
            <w:r/>
            <w:r>
              <w:rPr>
                <w:rFonts w:ascii="Times New Roman" w:hAnsi="Times New Roman"/>
                <w:b w:val="0"/>
                <w:sz w:val="16"/>
              </w:rPr>
              <w:t>%5,0</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19</w:t>
            </w:r>
          </w:p>
        </w:tc>
        <w:tc>
          <w:tcPr>
            <w:tcW w:type="dxa" w:w="1701"/>
            <w:vAlign w:val="center"/>
          </w:tcPr>
          <w:p>
            <w:pPr>
              <w:jc w:val="center"/>
            </w:pPr>
            <w:r/>
            <w:r>
              <w:rPr>
                <w:rFonts w:ascii="Times New Roman" w:hAnsi="Times New Roman"/>
                <w:b w:val="0"/>
                <w:sz w:val="16"/>
              </w:rPr>
              <w:t>%4,8</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141</w:t>
            </w:r>
          </w:p>
        </w:tc>
        <w:tc>
          <w:tcPr>
            <w:tcW w:type="dxa" w:w="1701"/>
            <w:vAlign w:val="center"/>
          </w:tcPr>
          <w:p>
            <w:pPr>
              <w:jc w:val="center"/>
            </w:pPr>
            <w:r/>
            <w:r>
              <w:rPr>
                <w:rFonts w:ascii="Times New Roman" w:hAnsi="Times New Roman"/>
                <w:b w:val="0"/>
                <w:sz w:val="16"/>
              </w:rPr>
              <w:t>%35,3</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3,28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23" name="Picture 23"/>
            <wp:cNvGraphicFramePr>
              <a:graphicFrameLocks noChangeAspect="1"/>
            </wp:cNvGraphicFramePr>
            <a:graphic>
              <a:graphicData uri="http://schemas.openxmlformats.org/drawingml/2006/picture">
                <pic:pic>
                  <pic:nvPicPr>
                    <pic:cNvPr id="0" name="madde_20.png"/>
                    <pic:cNvPicPr/>
                  </pic:nvPicPr>
                  <pic:blipFill>
                    <a:blip r:embed="rId32"/>
                    <a:stretch>
                      <a:fillRect/>
                    </a:stretch>
                  </pic:blipFill>
                  <pic:spPr>
                    <a:xfrm>
                      <a:off x="0" y="0"/>
                      <a:ext cx="5303520" cy="2807746"/>
                    </a:xfrm>
                    <a:prstGeom prst="rect"/>
                  </pic:spPr>
                </pic:pic>
              </a:graphicData>
            </a:graphic>
          </wp:inline>
        </w:drawing>
      </w:r>
    </w:p>
    <w:p>
      <w:pPr>
        <w:pStyle w:val="Heading3"/>
        <w:spacing w:after="120" w:line="276" w:lineRule="auto"/>
      </w:pPr>
      <w:r>
        <w:rPr>
          <w:rFonts w:ascii="Times New Roman" w:hAnsi="Times New Roman"/>
        </w:rPr>
        <w:t>Madde 21’e İlişkin Bulgular</w:t>
      </w:r>
    </w:p>
    <w:p>
      <w:pPr>
        <w:spacing w:after="120" w:line="276" w:lineRule="auto"/>
      </w:pPr>
      <w:r>
        <w:rPr>
          <w:rFonts w:ascii="Times New Roman" w:hAnsi="Times New Roman"/>
          <w:b w:val="0"/>
          <w:i/>
          <w:sz w:val="22"/>
        </w:rPr>
        <w:t>(Genel olarak, öğretim üyesinin dersteki performansından memnunum.)</w:t>
      </w:r>
    </w:p>
    <w:p>
      <w:pPr>
        <w:spacing w:after="120" w:line="276" w:lineRule="auto"/>
      </w:pPr>
      <w:r>
        <w:rPr>
          <w:rFonts w:ascii="Times New Roman" w:hAnsi="Times New Roman"/>
          <w:b w:val="0"/>
          <w:i w:val="0"/>
          <w:sz w:val="22"/>
        </w:rPr>
        <w:t>Yanıt dağılımı incelendiğinde; Kesinlikle Katılıyorum seçeneğinin 184 katılımcı (%46,1), Katılıyorum seçeneğinin 24 katılımcı (%6,0), Kararsızım seçeneğinin 27 katılımcı (%6,8), Katılmıyorum seçeneğinin 25 katılımcı (%6,3) ve Kesinlikle Katılmıyorum seçeneğinin 139 katılımcı (%34,8) tarafından işaretlendiği görülmektedir. Bu maddeye geçerli yanıt veren katılımcı sayısı 399'dur.</w:t>
      </w:r>
    </w:p>
    <w:p>
      <w:pPr>
        <w:spacing w:after="120" w:line="276" w:lineRule="auto"/>
      </w:pPr>
      <w:r>
        <w:rPr>
          <w:rFonts w:ascii="Times New Roman" w:hAnsi="Times New Roman"/>
          <w:b w:val="0"/>
          <w:i w:val="0"/>
          <w:sz w:val="22"/>
        </w:rPr>
        <w:t>Ortalama puanın 3,22/5,00 olması, olumlu görüş oranının %52,1, kararsız görüş oranının %6,8 ve olumsuz görüş oranının %41,1 düzeyinde gerçekleşmesi; bu alanda orta düzeyde bir memnuniyet bulunduğunu göstermektedir. Olumlu görüşler öne çıkmakla birlikte olumsuz görüş oranının dikkate değer düzeyde olması, uygulamaların daha standart, anlaşılır ve öğrenci odaklı biçimde geliştirilmesi gerektiğine işaret etmektedir.</w:t>
      </w:r>
    </w:p>
    <w:tbl>
      <w:tblPr>
        <w:tblStyle w:val="TableGrid"/>
        <w:tblW w:type="auto" w:w="0"/>
        <w:jc w:val="center"/>
        <w:tblLook w:firstColumn="1" w:firstRow="1" w:lastColumn="0" w:lastRow="0" w:noHBand="0" w:noVBand="1" w:val="04A0"/>
      </w:tblPr>
      <w:tblGrid>
        <w:gridCol w:w="3135"/>
        <w:gridCol w:w="3135"/>
        <w:gridCol w:w="3135"/>
      </w:tblGrid>
      <w:tr>
        <w:tc>
          <w:tcPr>
            <w:tcW w:type="dxa" w:w="3969"/>
            <w:vAlign w:val="center"/>
            <w:shd w:fill="D9EAF7"/>
          </w:tcPr>
          <w:p>
            <w:pPr>
              <w:jc w:val="left"/>
            </w:pPr>
            <w:r/>
            <w:r>
              <w:rPr>
                <w:rFonts w:ascii="Times New Roman" w:hAnsi="Times New Roman"/>
                <w:b/>
                <w:sz w:val="16"/>
              </w:rPr>
              <w:t>Seçenek</w:t>
            </w:r>
          </w:p>
        </w:tc>
        <w:tc>
          <w:tcPr>
            <w:tcW w:type="dxa" w:w="1701"/>
            <w:vAlign w:val="center"/>
            <w:shd w:fill="D9EAF7"/>
          </w:tcPr>
          <w:p>
            <w:pPr>
              <w:jc w:val="center"/>
            </w:pPr>
            <w:r/>
            <w:r>
              <w:rPr>
                <w:rFonts w:ascii="Times New Roman" w:hAnsi="Times New Roman"/>
                <w:b/>
                <w:sz w:val="16"/>
              </w:rPr>
              <w:t>Frekans</w:t>
            </w:r>
          </w:p>
        </w:tc>
        <w:tc>
          <w:tcPr>
            <w:tcW w:type="dxa" w:w="1701"/>
            <w:vAlign w:val="center"/>
            <w:shd w:fill="D9EAF7"/>
          </w:tcPr>
          <w:p>
            <w:pPr>
              <w:jc w:val="center"/>
            </w:pPr>
            <w:r/>
            <w:r>
              <w:rPr>
                <w:rFonts w:ascii="Times New Roman" w:hAnsi="Times New Roman"/>
                <w:b/>
                <w:sz w:val="16"/>
              </w:rPr>
              <w:t>Oran</w:t>
            </w:r>
          </w:p>
        </w:tc>
      </w:tr>
      <w:tr>
        <w:tc>
          <w:tcPr>
            <w:tcW w:type="dxa" w:w="3969"/>
            <w:vAlign w:val="center"/>
          </w:tcPr>
          <w:p>
            <w:pPr>
              <w:jc w:val="left"/>
            </w:pPr>
            <w:r/>
            <w:r>
              <w:rPr>
                <w:rFonts w:ascii="Times New Roman" w:hAnsi="Times New Roman"/>
                <w:b w:val="0"/>
                <w:sz w:val="16"/>
              </w:rPr>
              <w:t>5 = Kesinlikle Katılıyorum</w:t>
            </w:r>
          </w:p>
        </w:tc>
        <w:tc>
          <w:tcPr>
            <w:tcW w:type="dxa" w:w="1701"/>
            <w:vAlign w:val="center"/>
          </w:tcPr>
          <w:p>
            <w:pPr>
              <w:jc w:val="center"/>
            </w:pPr>
            <w:r/>
            <w:r>
              <w:rPr>
                <w:rFonts w:ascii="Times New Roman" w:hAnsi="Times New Roman"/>
                <w:b w:val="0"/>
                <w:sz w:val="16"/>
              </w:rPr>
              <w:t>184</w:t>
            </w:r>
          </w:p>
        </w:tc>
        <w:tc>
          <w:tcPr>
            <w:tcW w:type="dxa" w:w="1701"/>
            <w:vAlign w:val="center"/>
          </w:tcPr>
          <w:p>
            <w:pPr>
              <w:jc w:val="center"/>
            </w:pPr>
            <w:r/>
            <w:r>
              <w:rPr>
                <w:rFonts w:ascii="Times New Roman" w:hAnsi="Times New Roman"/>
                <w:b w:val="0"/>
                <w:sz w:val="16"/>
              </w:rPr>
              <w:t>%46,1</w:t>
            </w:r>
          </w:p>
        </w:tc>
      </w:tr>
      <w:tr>
        <w:tc>
          <w:tcPr>
            <w:tcW w:type="dxa" w:w="3969"/>
            <w:vAlign w:val="center"/>
          </w:tcPr>
          <w:p>
            <w:pPr>
              <w:jc w:val="left"/>
            </w:pPr>
            <w:r/>
            <w:r>
              <w:rPr>
                <w:rFonts w:ascii="Times New Roman" w:hAnsi="Times New Roman"/>
                <w:b w:val="0"/>
                <w:sz w:val="16"/>
              </w:rPr>
              <w:t>4 = Katılıyorum</w:t>
            </w:r>
          </w:p>
        </w:tc>
        <w:tc>
          <w:tcPr>
            <w:tcW w:type="dxa" w:w="1701"/>
            <w:vAlign w:val="center"/>
          </w:tcPr>
          <w:p>
            <w:pPr>
              <w:jc w:val="center"/>
            </w:pPr>
            <w:r/>
            <w:r>
              <w:rPr>
                <w:rFonts w:ascii="Times New Roman" w:hAnsi="Times New Roman"/>
                <w:b w:val="0"/>
                <w:sz w:val="16"/>
              </w:rPr>
              <w:t>24</w:t>
            </w:r>
          </w:p>
        </w:tc>
        <w:tc>
          <w:tcPr>
            <w:tcW w:type="dxa" w:w="1701"/>
            <w:vAlign w:val="center"/>
          </w:tcPr>
          <w:p>
            <w:pPr>
              <w:jc w:val="center"/>
            </w:pPr>
            <w:r/>
            <w:r>
              <w:rPr>
                <w:rFonts w:ascii="Times New Roman" w:hAnsi="Times New Roman"/>
                <w:b w:val="0"/>
                <w:sz w:val="16"/>
              </w:rPr>
              <w:t>%6,0</w:t>
            </w:r>
          </w:p>
        </w:tc>
      </w:tr>
      <w:tr>
        <w:tc>
          <w:tcPr>
            <w:tcW w:type="dxa" w:w="3969"/>
            <w:vAlign w:val="center"/>
          </w:tcPr>
          <w:p>
            <w:pPr>
              <w:jc w:val="left"/>
            </w:pPr>
            <w:r/>
            <w:r>
              <w:rPr>
                <w:rFonts w:ascii="Times New Roman" w:hAnsi="Times New Roman"/>
                <w:b w:val="0"/>
                <w:sz w:val="16"/>
              </w:rPr>
              <w:t>3 = Kararsızım</w:t>
            </w:r>
          </w:p>
        </w:tc>
        <w:tc>
          <w:tcPr>
            <w:tcW w:type="dxa" w:w="1701"/>
            <w:vAlign w:val="center"/>
          </w:tcPr>
          <w:p>
            <w:pPr>
              <w:jc w:val="center"/>
            </w:pPr>
            <w:r/>
            <w:r>
              <w:rPr>
                <w:rFonts w:ascii="Times New Roman" w:hAnsi="Times New Roman"/>
                <w:b w:val="0"/>
                <w:sz w:val="16"/>
              </w:rPr>
              <w:t>27</w:t>
            </w:r>
          </w:p>
        </w:tc>
        <w:tc>
          <w:tcPr>
            <w:tcW w:type="dxa" w:w="1701"/>
            <w:vAlign w:val="center"/>
          </w:tcPr>
          <w:p>
            <w:pPr>
              <w:jc w:val="center"/>
            </w:pPr>
            <w:r/>
            <w:r>
              <w:rPr>
                <w:rFonts w:ascii="Times New Roman" w:hAnsi="Times New Roman"/>
                <w:b w:val="0"/>
                <w:sz w:val="16"/>
              </w:rPr>
              <w:t>%6,8</w:t>
            </w:r>
          </w:p>
        </w:tc>
      </w:tr>
      <w:tr>
        <w:tc>
          <w:tcPr>
            <w:tcW w:type="dxa" w:w="3969"/>
            <w:vAlign w:val="center"/>
          </w:tcPr>
          <w:p>
            <w:pPr>
              <w:jc w:val="left"/>
            </w:pPr>
            <w:r/>
            <w:r>
              <w:rPr>
                <w:rFonts w:ascii="Times New Roman" w:hAnsi="Times New Roman"/>
                <w:b w:val="0"/>
                <w:sz w:val="16"/>
              </w:rPr>
              <w:t>2 = Katılmıyorum</w:t>
            </w:r>
          </w:p>
        </w:tc>
        <w:tc>
          <w:tcPr>
            <w:tcW w:type="dxa" w:w="1701"/>
            <w:vAlign w:val="center"/>
          </w:tcPr>
          <w:p>
            <w:pPr>
              <w:jc w:val="center"/>
            </w:pPr>
            <w:r/>
            <w:r>
              <w:rPr>
                <w:rFonts w:ascii="Times New Roman" w:hAnsi="Times New Roman"/>
                <w:b w:val="0"/>
                <w:sz w:val="16"/>
              </w:rPr>
              <w:t>25</w:t>
            </w:r>
          </w:p>
        </w:tc>
        <w:tc>
          <w:tcPr>
            <w:tcW w:type="dxa" w:w="1701"/>
            <w:vAlign w:val="center"/>
          </w:tcPr>
          <w:p>
            <w:pPr>
              <w:jc w:val="center"/>
            </w:pPr>
            <w:r/>
            <w:r>
              <w:rPr>
                <w:rFonts w:ascii="Times New Roman" w:hAnsi="Times New Roman"/>
                <w:b w:val="0"/>
                <w:sz w:val="16"/>
              </w:rPr>
              <w:t>%6,3</w:t>
            </w:r>
          </w:p>
        </w:tc>
      </w:tr>
      <w:tr>
        <w:tc>
          <w:tcPr>
            <w:tcW w:type="dxa" w:w="3969"/>
            <w:vAlign w:val="center"/>
          </w:tcPr>
          <w:p>
            <w:pPr>
              <w:jc w:val="left"/>
            </w:pPr>
            <w:r/>
            <w:r>
              <w:rPr>
                <w:rFonts w:ascii="Times New Roman" w:hAnsi="Times New Roman"/>
                <w:b w:val="0"/>
                <w:sz w:val="16"/>
              </w:rPr>
              <w:t>1 = Kesinlikle Katılmıyorum</w:t>
            </w:r>
          </w:p>
        </w:tc>
        <w:tc>
          <w:tcPr>
            <w:tcW w:type="dxa" w:w="1701"/>
            <w:vAlign w:val="center"/>
          </w:tcPr>
          <w:p>
            <w:pPr>
              <w:jc w:val="center"/>
            </w:pPr>
            <w:r/>
            <w:r>
              <w:rPr>
                <w:rFonts w:ascii="Times New Roman" w:hAnsi="Times New Roman"/>
                <w:b w:val="0"/>
                <w:sz w:val="16"/>
              </w:rPr>
              <w:t>139</w:t>
            </w:r>
          </w:p>
        </w:tc>
        <w:tc>
          <w:tcPr>
            <w:tcW w:type="dxa" w:w="1701"/>
            <w:vAlign w:val="center"/>
          </w:tcPr>
          <w:p>
            <w:pPr>
              <w:jc w:val="center"/>
            </w:pPr>
            <w:r/>
            <w:r>
              <w:rPr>
                <w:rFonts w:ascii="Times New Roman" w:hAnsi="Times New Roman"/>
                <w:b w:val="0"/>
                <w:sz w:val="16"/>
              </w:rPr>
              <w:t>%34,8</w:t>
            </w:r>
          </w:p>
        </w:tc>
      </w:tr>
      <w:tr>
        <w:tc>
          <w:tcPr>
            <w:tcW w:type="dxa" w:w="3969"/>
            <w:vAlign w:val="center"/>
          </w:tcPr>
          <w:p>
            <w:pPr>
              <w:jc w:val="left"/>
            </w:pPr>
            <w:r/>
            <w:r>
              <w:rPr>
                <w:rFonts w:ascii="Times New Roman" w:hAnsi="Times New Roman"/>
                <w:b w:val="0"/>
                <w:sz w:val="16"/>
              </w:rPr>
              <w:t>Ortalama</w:t>
            </w:r>
          </w:p>
        </w:tc>
        <w:tc>
          <w:tcPr>
            <w:tcW w:type="dxa" w:w="1701"/>
            <w:vAlign w:val="center"/>
          </w:tcPr>
          <w:p>
            <w:pPr>
              <w:jc w:val="center"/>
            </w:pPr>
            <w:r/>
            <w:r>
              <w:rPr>
                <w:rFonts w:ascii="Times New Roman" w:hAnsi="Times New Roman"/>
                <w:b w:val="0"/>
                <w:sz w:val="16"/>
              </w:rPr>
            </w:r>
          </w:p>
        </w:tc>
        <w:tc>
          <w:tcPr>
            <w:tcW w:type="dxa" w:w="1701"/>
            <w:vAlign w:val="center"/>
          </w:tcPr>
          <w:p>
            <w:pPr>
              <w:jc w:val="center"/>
            </w:pPr>
            <w:r/>
            <w:r>
              <w:rPr>
                <w:rFonts w:ascii="Times New Roman" w:hAnsi="Times New Roman"/>
                <w:b w:val="0"/>
                <w:sz w:val="16"/>
              </w:rPr>
              <w:t>3,22 / 5,00</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303520" cy="2807746"/>
            <wp:docPr id="24" name="Picture 24"/>
            <wp:cNvGraphicFramePr>
              <a:graphicFrameLocks noChangeAspect="1"/>
            </wp:cNvGraphicFramePr>
            <a:graphic>
              <a:graphicData uri="http://schemas.openxmlformats.org/drawingml/2006/picture">
                <pic:pic>
                  <pic:nvPicPr>
                    <pic:cNvPr id="0" name="madde_21.png"/>
                    <pic:cNvPicPr/>
                  </pic:nvPicPr>
                  <pic:blipFill>
                    <a:blip r:embed="rId33"/>
                    <a:stretch>
                      <a:fillRect/>
                    </a:stretch>
                  </pic:blipFill>
                  <pic:spPr>
                    <a:xfrm>
                      <a:off x="0" y="0"/>
                      <a:ext cx="5303520" cy="2807746"/>
                    </a:xfrm>
                    <a:prstGeom prst="rect"/>
                  </pic:spPr>
                </pic:pic>
              </a:graphicData>
            </a:graphic>
          </wp:inline>
        </w:drawing>
      </w:r>
    </w:p>
    <w:p>
      <w:pPr>
        <w:pStyle w:val="Heading2"/>
        <w:spacing w:after="120" w:line="276" w:lineRule="auto"/>
      </w:pPr>
      <w:r>
        <w:rPr>
          <w:rFonts w:ascii="Times New Roman" w:hAnsi="Times New Roman"/>
        </w:rPr>
        <w:t>5.6. Açık Uçlu Görüş ve Öneriler</w:t>
      </w:r>
    </w:p>
    <w:p>
      <w:pPr>
        <w:spacing w:after="120" w:line="276" w:lineRule="auto"/>
      </w:pPr>
      <w:r>
        <w:rPr>
          <w:rFonts w:ascii="Times New Roman" w:hAnsi="Times New Roman"/>
          <w:b w:val="0"/>
          <w:i w:val="0"/>
          <w:sz w:val="22"/>
        </w:rPr>
        <w:t>Açık uçlu yanıtlar incelendiğinde, geçerli yanıtlar içinde 300 adet yorumlanabilir görüş/öneri bulunduğu belirlenmiştir. Görüşlerin bir kısmında öğretim elemanlarına yönelik teşekkür, memnuniyet, ders anlatımından hoşnut olma ve mesleki katkı vurgusu öne çıkmıştır.</w:t>
      </w:r>
    </w:p>
    <w:p>
      <w:pPr>
        <w:spacing w:after="120" w:line="276" w:lineRule="auto"/>
      </w:pPr>
      <w:r>
        <w:rPr>
          <w:rFonts w:ascii="Times New Roman" w:hAnsi="Times New Roman"/>
          <w:b w:val="0"/>
          <w:i w:val="0"/>
          <w:sz w:val="22"/>
        </w:rPr>
        <w:t>Bununla birlikte açık uçlu yanıtlarda tekrar eden geliştirme alanları da bulunmaktadır. Öğrenciler özellikle sınav soru sayısı ve sınav süresinin dengelenmesi, ölçme-değerlendirme sürecinde objektiflik ve şeffaflığın artırılması, ders anlatım hızının düzenlenmesi, daha anlaşılır anlatım yapılması, uygulamalı derslerde öğrenci başına düşen pratik imkanların artırılması ve öğrenciyle iletişimde daha yapıcı bir dil kullanılması gerektiğini belirtmiştir.</w:t>
      </w:r>
    </w:p>
    <w:p>
      <w:pPr>
        <w:spacing w:after="120" w:line="276" w:lineRule="auto"/>
      </w:pPr>
      <w:r>
        <w:rPr>
          <w:rFonts w:ascii="Times New Roman" w:hAnsi="Times New Roman"/>
          <w:b w:val="0"/>
          <w:i w:val="0"/>
          <w:sz w:val="22"/>
        </w:rPr>
        <w:t>Açık uçlu yanıtlar nitel içerik analiziyle tematik olarak gruplandırılmıştır. Bir yanıt birden fazla tema içerebildiği için tema sayıları toplam yorum sayısından fazla olabilir.</w:t>
      </w:r>
    </w:p>
    <w:tbl>
      <w:tblPr>
        <w:tblStyle w:val="TableGrid"/>
        <w:tblW w:type="auto" w:w="0"/>
        <w:jc w:val="center"/>
        <w:tblLook w:firstColumn="1" w:firstRow="1" w:lastColumn="0" w:lastRow="0" w:noHBand="0" w:noVBand="1" w:val="04A0"/>
      </w:tblPr>
      <w:tblGrid>
        <w:gridCol w:w="4703"/>
        <w:gridCol w:w="4703"/>
      </w:tblGrid>
      <w:tr>
        <w:tc>
          <w:tcPr>
            <w:tcW w:type="dxa" w:w="4535"/>
            <w:vAlign w:val="center"/>
            <w:shd w:fill="D9EAF7"/>
          </w:tcPr>
          <w:p>
            <w:pPr>
              <w:jc w:val="left"/>
            </w:pPr>
            <w:r/>
            <w:r>
              <w:rPr>
                <w:rFonts w:ascii="Times New Roman" w:hAnsi="Times New Roman"/>
                <w:b/>
                <w:sz w:val="18"/>
              </w:rPr>
              <w:t>Tema</w:t>
            </w:r>
          </w:p>
        </w:tc>
        <w:tc>
          <w:tcPr>
            <w:tcW w:type="dxa" w:w="2268"/>
            <w:vAlign w:val="center"/>
            <w:shd w:fill="D9EAF7"/>
          </w:tcPr>
          <w:p>
            <w:pPr>
              <w:jc w:val="center"/>
            </w:pPr>
            <w:r/>
            <w:r>
              <w:rPr>
                <w:rFonts w:ascii="Times New Roman" w:hAnsi="Times New Roman"/>
                <w:b/>
                <w:sz w:val="18"/>
              </w:rPr>
              <w:t>Tema Sayısı</w:t>
            </w:r>
          </w:p>
        </w:tc>
      </w:tr>
      <w:tr>
        <w:tc>
          <w:tcPr>
            <w:tcW w:type="dxa" w:w="4535"/>
            <w:vAlign w:val="center"/>
          </w:tcPr>
          <w:p>
            <w:pPr>
              <w:jc w:val="left"/>
            </w:pPr>
            <w:r/>
            <w:r>
              <w:rPr>
                <w:rFonts w:ascii="Times New Roman" w:hAnsi="Times New Roman"/>
                <w:b w:val="0"/>
                <w:sz w:val="18"/>
              </w:rPr>
              <w:t>Olumlu memnuniyet/teşekkür</w:t>
            </w:r>
          </w:p>
        </w:tc>
        <w:tc>
          <w:tcPr>
            <w:tcW w:type="dxa" w:w="2268"/>
            <w:vAlign w:val="center"/>
          </w:tcPr>
          <w:p>
            <w:pPr>
              <w:jc w:val="center"/>
            </w:pPr>
            <w:r/>
            <w:r>
              <w:rPr>
                <w:rFonts w:ascii="Times New Roman" w:hAnsi="Times New Roman"/>
                <w:b w:val="0"/>
                <w:sz w:val="18"/>
              </w:rPr>
              <w:t>131</w:t>
            </w:r>
          </w:p>
        </w:tc>
      </w:tr>
      <w:tr>
        <w:tc>
          <w:tcPr>
            <w:tcW w:type="dxa" w:w="4535"/>
            <w:vAlign w:val="center"/>
          </w:tcPr>
          <w:p>
            <w:pPr>
              <w:jc w:val="left"/>
            </w:pPr>
            <w:r/>
            <w:r>
              <w:rPr>
                <w:rFonts w:ascii="Times New Roman" w:hAnsi="Times New Roman"/>
                <w:b w:val="0"/>
                <w:sz w:val="18"/>
              </w:rPr>
              <w:t>Sınav/ölçme-değerlendirme</w:t>
            </w:r>
          </w:p>
        </w:tc>
        <w:tc>
          <w:tcPr>
            <w:tcW w:type="dxa" w:w="2268"/>
            <w:vAlign w:val="center"/>
          </w:tcPr>
          <w:p>
            <w:pPr>
              <w:jc w:val="center"/>
            </w:pPr>
            <w:r/>
            <w:r>
              <w:rPr>
                <w:rFonts w:ascii="Times New Roman" w:hAnsi="Times New Roman"/>
                <w:b w:val="0"/>
                <w:sz w:val="18"/>
              </w:rPr>
              <w:t>87</w:t>
            </w:r>
          </w:p>
        </w:tc>
      </w:tr>
      <w:tr>
        <w:tc>
          <w:tcPr>
            <w:tcW w:type="dxa" w:w="4535"/>
            <w:vAlign w:val="center"/>
          </w:tcPr>
          <w:p>
            <w:pPr>
              <w:jc w:val="left"/>
            </w:pPr>
            <w:r/>
            <w:r>
              <w:rPr>
                <w:rFonts w:ascii="Times New Roman" w:hAnsi="Times New Roman"/>
                <w:b w:val="0"/>
                <w:sz w:val="18"/>
              </w:rPr>
              <w:t>Ders anlatımı/anlaşılırlık/hız</w:t>
            </w:r>
          </w:p>
        </w:tc>
        <w:tc>
          <w:tcPr>
            <w:tcW w:type="dxa" w:w="2268"/>
            <w:vAlign w:val="center"/>
          </w:tcPr>
          <w:p>
            <w:pPr>
              <w:jc w:val="center"/>
            </w:pPr>
            <w:r/>
            <w:r>
              <w:rPr>
                <w:rFonts w:ascii="Times New Roman" w:hAnsi="Times New Roman"/>
                <w:b w:val="0"/>
                <w:sz w:val="18"/>
              </w:rPr>
              <w:t>59</w:t>
            </w:r>
          </w:p>
        </w:tc>
      </w:tr>
      <w:tr>
        <w:tc>
          <w:tcPr>
            <w:tcW w:type="dxa" w:w="4535"/>
            <w:vAlign w:val="center"/>
          </w:tcPr>
          <w:p>
            <w:pPr>
              <w:jc w:val="left"/>
            </w:pPr>
            <w:r/>
            <w:r>
              <w:rPr>
                <w:rFonts w:ascii="Times New Roman" w:hAnsi="Times New Roman"/>
                <w:b w:val="0"/>
                <w:sz w:val="18"/>
              </w:rPr>
              <w:t>İletişim/tutum</w:t>
            </w:r>
          </w:p>
        </w:tc>
        <w:tc>
          <w:tcPr>
            <w:tcW w:type="dxa" w:w="2268"/>
            <w:vAlign w:val="center"/>
          </w:tcPr>
          <w:p>
            <w:pPr>
              <w:jc w:val="center"/>
            </w:pPr>
            <w:r/>
            <w:r>
              <w:rPr>
                <w:rFonts w:ascii="Times New Roman" w:hAnsi="Times New Roman"/>
                <w:b w:val="0"/>
                <w:sz w:val="18"/>
              </w:rPr>
              <w:t>79</w:t>
            </w:r>
          </w:p>
        </w:tc>
      </w:tr>
      <w:tr>
        <w:tc>
          <w:tcPr>
            <w:tcW w:type="dxa" w:w="4535"/>
            <w:vAlign w:val="center"/>
          </w:tcPr>
          <w:p>
            <w:pPr>
              <w:jc w:val="left"/>
            </w:pPr>
            <w:r/>
            <w:r>
              <w:rPr>
                <w:rFonts w:ascii="Times New Roman" w:hAnsi="Times New Roman"/>
                <w:b w:val="0"/>
                <w:sz w:val="18"/>
              </w:rPr>
              <w:t>Uygulama/pratik/klinik</w:t>
            </w:r>
          </w:p>
        </w:tc>
        <w:tc>
          <w:tcPr>
            <w:tcW w:type="dxa" w:w="2268"/>
            <w:vAlign w:val="center"/>
          </w:tcPr>
          <w:p>
            <w:pPr>
              <w:jc w:val="center"/>
            </w:pPr>
            <w:r/>
            <w:r>
              <w:rPr>
                <w:rFonts w:ascii="Times New Roman" w:hAnsi="Times New Roman"/>
                <w:b w:val="0"/>
                <w:sz w:val="18"/>
              </w:rPr>
              <w:t>25</w:t>
            </w:r>
          </w:p>
        </w:tc>
      </w:tr>
      <w:tr>
        <w:tc>
          <w:tcPr>
            <w:tcW w:type="dxa" w:w="4535"/>
            <w:vAlign w:val="center"/>
          </w:tcPr>
          <w:p>
            <w:pPr>
              <w:jc w:val="left"/>
            </w:pPr>
            <w:r/>
            <w:r>
              <w:rPr>
                <w:rFonts w:ascii="Times New Roman" w:hAnsi="Times New Roman"/>
                <w:b w:val="0"/>
                <w:sz w:val="18"/>
              </w:rPr>
              <w:t>Kaynak/materyal/teknoloji</w:t>
            </w:r>
          </w:p>
        </w:tc>
        <w:tc>
          <w:tcPr>
            <w:tcW w:type="dxa" w:w="2268"/>
            <w:vAlign w:val="center"/>
          </w:tcPr>
          <w:p>
            <w:pPr>
              <w:jc w:val="center"/>
            </w:pPr>
            <w:r/>
            <w:r>
              <w:rPr>
                <w:rFonts w:ascii="Times New Roman" w:hAnsi="Times New Roman"/>
                <w:b w:val="0"/>
                <w:sz w:val="18"/>
              </w:rPr>
              <w:t>24</w:t>
            </w:r>
          </w:p>
        </w:tc>
      </w:tr>
      <w:tr>
        <w:tc>
          <w:tcPr>
            <w:tcW w:type="dxa" w:w="4535"/>
            <w:vAlign w:val="center"/>
          </w:tcPr>
          <w:p>
            <w:pPr>
              <w:jc w:val="left"/>
            </w:pPr>
            <w:r/>
            <w:r>
              <w:rPr>
                <w:rFonts w:ascii="Times New Roman" w:hAnsi="Times New Roman"/>
                <w:b w:val="0"/>
                <w:sz w:val="18"/>
              </w:rPr>
              <w:t>Ders planı/program/devam</w:t>
            </w:r>
          </w:p>
        </w:tc>
        <w:tc>
          <w:tcPr>
            <w:tcW w:type="dxa" w:w="2268"/>
            <w:vAlign w:val="center"/>
          </w:tcPr>
          <w:p>
            <w:pPr>
              <w:jc w:val="center"/>
            </w:pPr>
            <w:r/>
            <w:r>
              <w:rPr>
                <w:rFonts w:ascii="Times New Roman" w:hAnsi="Times New Roman"/>
                <w:b w:val="0"/>
                <w:sz w:val="18"/>
              </w:rPr>
              <w:t>45</w:t>
            </w:r>
          </w:p>
        </w:tc>
      </w:tr>
      <w:tr>
        <w:tc>
          <w:tcPr>
            <w:tcW w:type="dxa" w:w="4535"/>
            <w:vAlign w:val="center"/>
          </w:tcPr>
          <w:p>
            <w:pPr>
              <w:jc w:val="left"/>
            </w:pPr>
            <w:r/>
            <w:r>
              <w:rPr>
                <w:rFonts w:ascii="Times New Roman" w:hAnsi="Times New Roman"/>
                <w:b w:val="0"/>
                <w:sz w:val="18"/>
              </w:rPr>
              <w:t>Diğer/Genel ifadeler</w:t>
            </w:r>
          </w:p>
        </w:tc>
        <w:tc>
          <w:tcPr>
            <w:tcW w:type="dxa" w:w="2268"/>
            <w:vAlign w:val="center"/>
          </w:tcPr>
          <w:p>
            <w:pPr>
              <w:jc w:val="center"/>
            </w:pPr>
            <w:r/>
            <w:r>
              <w:rPr>
                <w:rFonts w:ascii="Times New Roman" w:hAnsi="Times New Roman"/>
                <w:b w:val="0"/>
                <w:sz w:val="18"/>
              </w:rPr>
              <w:t>61</w:t>
            </w:r>
          </w:p>
        </w:tc>
      </w:tr>
    </w:tbl>
    <w:p>
      <w:pPr>
        <w:spacing w:after="120" w:line="276" w:lineRule="auto"/>
      </w:pPr>
      <w:r>
        <w:rPr>
          <w:rFonts w:ascii="Times New Roman" w:hAnsi="Times New Roman"/>
          <w:b w:val="0"/>
          <w:i w:val="0"/>
          <w:sz w:val="22"/>
        </w:rPr>
      </w:r>
    </w:p>
    <w:p>
      <w:pPr>
        <w:spacing w:after="120" w:line="276" w:lineRule="auto"/>
      </w:pPr>
      <w:r>
        <w:rPr>
          <w:rFonts w:ascii="Times New Roman" w:hAnsi="Times New Roman"/>
        </w:rPr>
        <w:drawing>
          <wp:inline xmlns:a="http://schemas.openxmlformats.org/drawingml/2006/main" xmlns:pic="http://schemas.openxmlformats.org/drawingml/2006/picture">
            <wp:extent cx="5760720" cy="3200400"/>
            <wp:docPr id="25" name="Picture 25"/>
            <wp:cNvGraphicFramePr>
              <a:graphicFrameLocks noChangeAspect="1"/>
            </wp:cNvGraphicFramePr>
            <a:graphic>
              <a:graphicData uri="http://schemas.openxmlformats.org/drawingml/2006/picture">
                <pic:pic>
                  <pic:nvPicPr>
                    <pic:cNvPr id="0" name="acik_uclu_temalar.png"/>
                    <pic:cNvPicPr/>
                  </pic:nvPicPr>
                  <pic:blipFill>
                    <a:blip r:embed="rId34"/>
                    <a:stretch>
                      <a:fillRect/>
                    </a:stretch>
                  </pic:blipFill>
                  <pic:spPr>
                    <a:xfrm>
                      <a:off x="0" y="0"/>
                      <a:ext cx="5760720" cy="3200400"/>
                    </a:xfrm>
                    <a:prstGeom prst="rect"/>
                  </pic:spPr>
                </pic:pic>
              </a:graphicData>
            </a:graphic>
          </wp:inline>
        </w:drawing>
      </w:r>
    </w:p>
    <w:p>
      <w:pPr>
        <w:pStyle w:val="Heading1"/>
        <w:spacing w:after="120" w:line="276" w:lineRule="auto"/>
      </w:pPr>
      <w:r>
        <w:rPr>
          <w:rFonts w:ascii="Times New Roman" w:hAnsi="Times New Roman"/>
        </w:rPr>
        <w:t>6. Dikkat Kontrol Maddesine İlişkin Veri Kalitesi Değerlendirmesi</w:t>
      </w:r>
    </w:p>
    <w:p>
      <w:pPr>
        <w:spacing w:after="120" w:line="276" w:lineRule="auto"/>
      </w:pPr>
      <w:r>
        <w:rPr>
          <w:rFonts w:ascii="Times New Roman" w:hAnsi="Times New Roman"/>
          <w:b w:val="0"/>
          <w:i w:val="0"/>
          <w:sz w:val="22"/>
        </w:rPr>
        <w:t>Anket formunda veri kalitesini değerlendirmek amacıyla dikkat kontrolü maddesi kullanılmıştır. Bu maddede katılımcılardan özellikle 'Katılıyorum' seçeneğini işaretlemeleri istenmiştir.</w:t>
      </w:r>
    </w:p>
    <w:p>
      <w:pPr>
        <w:spacing w:after="120" w:line="276" w:lineRule="auto"/>
      </w:pPr>
      <w:r>
        <w:rPr>
          <w:rFonts w:ascii="Times New Roman" w:hAnsi="Times New Roman"/>
          <w:b w:val="0"/>
          <w:i w:val="0"/>
          <w:sz w:val="22"/>
        </w:rPr>
        <w:t>Toplam 476 yanıtın 399'u dikkat kontrolü şartını sağlamış, 77 yanıt ise analiz dışı bırakılmıştır. Bu uygulama, raporlamada yalnızca yönergeyi doğru takip eden katılımcılara ait yanıtların kullanılmasını sağlamış ve değerlendirme sonuçlarının güvenilirliğini artırmıştır.</w:t>
      </w:r>
    </w:p>
    <w:p>
      <w:pPr>
        <w:pStyle w:val="Heading1"/>
        <w:spacing w:after="120" w:line="276" w:lineRule="auto"/>
      </w:pPr>
      <w:r>
        <w:rPr>
          <w:rFonts w:ascii="Times New Roman" w:hAnsi="Times New Roman"/>
        </w:rPr>
        <w:t>7. Genel Değerlendirme</w:t>
      </w:r>
    </w:p>
    <w:p>
      <w:pPr>
        <w:spacing w:after="120" w:line="276" w:lineRule="auto"/>
      </w:pPr>
      <w:r>
        <w:rPr>
          <w:rFonts w:ascii="Times New Roman" w:hAnsi="Times New Roman"/>
          <w:b w:val="0"/>
          <w:i w:val="0"/>
          <w:sz w:val="22"/>
        </w:rPr>
        <w:t>Öğretim Elemanı Değerlendirme Anketi sonuçları genel olarak değerlendirildiğinde, geçerli yanıtlar üzerinden hesaplanan genel ortalamanın 3,31/5,00 olduğu görülmektedir. Bu değer, öğretim elemanı performansına ilişkin algının tamamen olumsuz olmadığını; ancak yüksek memnuniyet düzeyine ulaşmak için bazı öğretim süreçlerinde belirgin iyileştirme ihtiyacı bulunduğunu göstermektedir.</w:t>
      </w:r>
    </w:p>
    <w:p>
      <w:pPr>
        <w:spacing w:after="120" w:line="276" w:lineRule="auto"/>
      </w:pPr>
      <w:r>
        <w:rPr>
          <w:rFonts w:ascii="Times New Roman" w:hAnsi="Times New Roman"/>
          <w:b w:val="0"/>
          <w:i w:val="0"/>
          <w:sz w:val="22"/>
        </w:rPr>
        <w:t>En yüksek ortalama, Madde 1 kapsamında değerlendirilen 'Öğretim üyesi, dersin dönemlik planını ve kaynaklarını ilk derste açıkça belirtti.' ifadesinde elde edilmiştir (3,50/5,00). Bu durum, ilgili başlığın öğrenciler tarafından rapordaki diğer maddelere göre daha olumlu algılandığını göstermektedir. Buna karşılık en düşük ortalama, Madde 12 kapsamında değerlendirilen 'Uygulama saatlerinde her öğrenciye yeterli pratik yapma imkanı tanınmaktadır.' ifadesinde belirlenmiştir (3,07/5,00). Bu bulgu, özellikle uygulamalı eğitim kapasitesinin, öğrenci aktif katılımının ve pratik yapma imkanlarının artırılmasının öncelikli bir iyileştirme alanı olduğunu ortaya koymaktadır.</w:t>
      </w:r>
    </w:p>
    <w:p>
      <w:pPr>
        <w:spacing w:after="120" w:line="276" w:lineRule="auto"/>
      </w:pPr>
      <w:r>
        <w:rPr>
          <w:rFonts w:ascii="Times New Roman" w:hAnsi="Times New Roman"/>
          <w:b w:val="0"/>
          <w:i w:val="0"/>
          <w:sz w:val="22"/>
        </w:rPr>
        <w:t>Raporun genel bulguları üç temel iyileştirme eksenini öne çıkarmaktadır. Birincisi, uygulamalı eğitimlerin öğrenci başına daha fazla pratik yapma imkanı sağlayacak şekilde planlanmasıdır. İkincisi, ölçme-değerlendirme süreçlerinde sınav kapsamı, soru sayısı, süre, değerlendirme ölçütleri ve geri bildirim mekanizmalarının daha açık hale getirilmesidir. Üçüncüsü, öğrenci-öğretim elemanı iletişiminde yapıcı, profesyonel ve öğrencinin akademik gelişimini destekleyen bir yaklaşımın güçlendirilmesidir.</w:t>
      </w:r>
    </w:p>
    <w:p>
      <w:pPr>
        <w:spacing w:after="120" w:line="276" w:lineRule="auto"/>
      </w:pPr>
      <w:r>
        <w:rPr>
          <w:rFonts w:ascii="Times New Roman" w:hAnsi="Times New Roman"/>
          <w:b w:val="0"/>
          <w:i w:val="0"/>
          <w:sz w:val="22"/>
        </w:rPr>
        <w:t>Sonuç olarak, anket bulguları öğretim elemanı değerlendirme sürecinin kalite güvencesi açısından önemli bir geri bildirim sunduğunu göstermektedir. Mevcut güçlü yönlerin korunması; uygulama, iletişim, ders anlatımının anlaşılabilirliği ve ölçme-değerlendirme alanlarında ise iyileştirme faaliyetlerinin planlanması eğitim-öğretim niteliğinin artırılmasına katkı sağlayacaktır.</w:t>
      </w:r>
    </w:p>
    <w:p>
      <w:pPr>
        <w:pStyle w:val="Heading1"/>
        <w:spacing w:after="120" w:line="276" w:lineRule="auto"/>
      </w:pPr>
      <w:r>
        <w:rPr>
          <w:rFonts w:ascii="Times New Roman" w:hAnsi="Times New Roman"/>
        </w:rPr>
        <w:t>8. Ekler</w:t>
      </w:r>
    </w:p>
    <w:p>
      <w:pPr>
        <w:pStyle w:val="Heading2"/>
        <w:spacing w:after="120" w:line="276" w:lineRule="auto"/>
      </w:pPr>
      <w:r>
        <w:rPr>
          <w:rFonts w:ascii="Times New Roman" w:hAnsi="Times New Roman"/>
        </w:rPr>
        <w:t>Ek 1. Genel Değerlendirme Özeti</w:t>
      </w:r>
    </w:p>
    <w:tbl>
      <w:tblPr>
        <w:tblStyle w:val="TableGrid"/>
        <w:tblW w:type="auto" w:w="0"/>
        <w:jc w:val="center"/>
        <w:tblLook w:firstColumn="1" w:firstRow="1" w:lastColumn="0" w:lastRow="0" w:noHBand="0" w:noVBand="1" w:val="04A0"/>
      </w:tblPr>
      <w:tblGrid>
        <w:gridCol w:w="4703"/>
        <w:gridCol w:w="4703"/>
      </w:tblGrid>
      <w:tr>
        <w:tc>
          <w:tcPr>
            <w:tcW w:type="dxa" w:w="4535"/>
            <w:vAlign w:val="center"/>
            <w:shd w:fill="D9EAF7"/>
          </w:tcPr>
          <w:p>
            <w:pPr>
              <w:jc w:val="left"/>
            </w:pPr>
            <w:r/>
            <w:r>
              <w:rPr>
                <w:rFonts w:ascii="Times New Roman" w:hAnsi="Times New Roman"/>
                <w:b/>
                <w:sz w:val="16"/>
              </w:rPr>
              <w:t>Gösterge</w:t>
            </w:r>
          </w:p>
        </w:tc>
        <w:tc>
          <w:tcPr>
            <w:tcW w:type="dxa" w:w="3402"/>
            <w:vAlign w:val="center"/>
            <w:shd w:fill="D9EAF7"/>
          </w:tcPr>
          <w:p>
            <w:pPr>
              <w:jc w:val="center"/>
            </w:pPr>
            <w:r/>
            <w:r>
              <w:rPr>
                <w:rFonts w:ascii="Times New Roman" w:hAnsi="Times New Roman"/>
                <w:b/>
                <w:sz w:val="16"/>
              </w:rPr>
              <w:t>Değer</w:t>
            </w:r>
          </w:p>
        </w:tc>
      </w:tr>
      <w:tr>
        <w:tc>
          <w:tcPr>
            <w:tcW w:type="dxa" w:w="4535"/>
            <w:vAlign w:val="center"/>
          </w:tcPr>
          <w:p>
            <w:pPr>
              <w:jc w:val="left"/>
            </w:pPr>
            <w:r/>
            <w:r>
              <w:rPr>
                <w:rFonts w:ascii="Times New Roman" w:hAnsi="Times New Roman"/>
                <w:b w:val="0"/>
                <w:sz w:val="16"/>
              </w:rPr>
              <w:t>Toplam Anket Yanıtı</w:t>
            </w:r>
          </w:p>
        </w:tc>
        <w:tc>
          <w:tcPr>
            <w:tcW w:type="dxa" w:w="3402"/>
            <w:vAlign w:val="center"/>
          </w:tcPr>
          <w:p>
            <w:pPr>
              <w:jc w:val="center"/>
            </w:pPr>
            <w:r/>
            <w:r>
              <w:rPr>
                <w:rFonts w:ascii="Times New Roman" w:hAnsi="Times New Roman"/>
                <w:b w:val="0"/>
                <w:sz w:val="16"/>
              </w:rPr>
              <w:t>476</w:t>
            </w:r>
          </w:p>
        </w:tc>
      </w:tr>
      <w:tr>
        <w:tc>
          <w:tcPr>
            <w:tcW w:type="dxa" w:w="4535"/>
            <w:vAlign w:val="center"/>
          </w:tcPr>
          <w:p>
            <w:pPr>
              <w:jc w:val="left"/>
            </w:pPr>
            <w:r/>
            <w:r>
              <w:rPr>
                <w:rFonts w:ascii="Times New Roman" w:hAnsi="Times New Roman"/>
                <w:b w:val="0"/>
                <w:sz w:val="16"/>
              </w:rPr>
              <w:t>Dikkat Kontrolü Sonrası Geçerli Yanıt</w:t>
            </w:r>
          </w:p>
        </w:tc>
        <w:tc>
          <w:tcPr>
            <w:tcW w:type="dxa" w:w="3402"/>
            <w:vAlign w:val="center"/>
          </w:tcPr>
          <w:p>
            <w:pPr>
              <w:jc w:val="center"/>
            </w:pPr>
            <w:r/>
            <w:r>
              <w:rPr>
                <w:rFonts w:ascii="Times New Roman" w:hAnsi="Times New Roman"/>
                <w:b w:val="0"/>
                <w:sz w:val="16"/>
              </w:rPr>
              <w:t>399</w:t>
            </w:r>
          </w:p>
        </w:tc>
      </w:tr>
      <w:tr>
        <w:tc>
          <w:tcPr>
            <w:tcW w:type="dxa" w:w="4535"/>
            <w:vAlign w:val="center"/>
          </w:tcPr>
          <w:p>
            <w:pPr>
              <w:jc w:val="left"/>
            </w:pPr>
            <w:r/>
            <w:r>
              <w:rPr>
                <w:rFonts w:ascii="Times New Roman" w:hAnsi="Times New Roman"/>
                <w:b w:val="0"/>
                <w:sz w:val="16"/>
              </w:rPr>
              <w:t>Analiz Dışı Bırakılan Yanıt</w:t>
            </w:r>
          </w:p>
        </w:tc>
        <w:tc>
          <w:tcPr>
            <w:tcW w:type="dxa" w:w="3402"/>
            <w:vAlign w:val="center"/>
          </w:tcPr>
          <w:p>
            <w:pPr>
              <w:jc w:val="center"/>
            </w:pPr>
            <w:r/>
            <w:r>
              <w:rPr>
                <w:rFonts w:ascii="Times New Roman" w:hAnsi="Times New Roman"/>
                <w:b w:val="0"/>
                <w:sz w:val="16"/>
              </w:rPr>
              <w:t>77</w:t>
            </w:r>
          </w:p>
        </w:tc>
      </w:tr>
      <w:tr>
        <w:tc>
          <w:tcPr>
            <w:tcW w:type="dxa" w:w="4535"/>
            <w:vAlign w:val="center"/>
          </w:tcPr>
          <w:p>
            <w:pPr>
              <w:jc w:val="left"/>
            </w:pPr>
            <w:r/>
            <w:r>
              <w:rPr>
                <w:rFonts w:ascii="Times New Roman" w:hAnsi="Times New Roman"/>
                <w:b w:val="0"/>
                <w:sz w:val="16"/>
              </w:rPr>
              <w:t>Değerlendirilen Madde Sayısı</w:t>
            </w:r>
          </w:p>
        </w:tc>
        <w:tc>
          <w:tcPr>
            <w:tcW w:type="dxa" w:w="3402"/>
            <w:vAlign w:val="center"/>
          </w:tcPr>
          <w:p>
            <w:pPr>
              <w:jc w:val="center"/>
            </w:pPr>
            <w:r/>
            <w:r>
              <w:rPr>
                <w:rFonts w:ascii="Times New Roman" w:hAnsi="Times New Roman"/>
                <w:b w:val="0"/>
                <w:sz w:val="16"/>
              </w:rPr>
              <w:t>21</w:t>
            </w:r>
          </w:p>
        </w:tc>
      </w:tr>
      <w:tr>
        <w:tc>
          <w:tcPr>
            <w:tcW w:type="dxa" w:w="4535"/>
            <w:vAlign w:val="center"/>
          </w:tcPr>
          <w:p>
            <w:pPr>
              <w:jc w:val="left"/>
            </w:pPr>
            <w:r/>
            <w:r>
              <w:rPr>
                <w:rFonts w:ascii="Times New Roman" w:hAnsi="Times New Roman"/>
                <w:b w:val="0"/>
                <w:sz w:val="16"/>
              </w:rPr>
              <w:t>Toplam Likert Yanıtı</w:t>
            </w:r>
          </w:p>
        </w:tc>
        <w:tc>
          <w:tcPr>
            <w:tcW w:type="dxa" w:w="3402"/>
            <w:vAlign w:val="center"/>
          </w:tcPr>
          <w:p>
            <w:pPr>
              <w:jc w:val="center"/>
            </w:pPr>
            <w:r/>
            <w:r>
              <w:rPr>
                <w:rFonts w:ascii="Times New Roman" w:hAnsi="Times New Roman"/>
                <w:b w:val="0"/>
                <w:sz w:val="16"/>
              </w:rPr>
              <w:t>8379</w:t>
            </w:r>
          </w:p>
        </w:tc>
      </w:tr>
      <w:tr>
        <w:tc>
          <w:tcPr>
            <w:tcW w:type="dxa" w:w="4535"/>
            <w:vAlign w:val="center"/>
          </w:tcPr>
          <w:p>
            <w:pPr>
              <w:jc w:val="left"/>
            </w:pPr>
            <w:r/>
            <w:r>
              <w:rPr>
                <w:rFonts w:ascii="Times New Roman" w:hAnsi="Times New Roman"/>
                <w:b w:val="0"/>
                <w:sz w:val="16"/>
              </w:rPr>
              <w:t>Genel Ortalama</w:t>
            </w:r>
          </w:p>
        </w:tc>
        <w:tc>
          <w:tcPr>
            <w:tcW w:type="dxa" w:w="3402"/>
            <w:vAlign w:val="center"/>
          </w:tcPr>
          <w:p>
            <w:pPr>
              <w:jc w:val="center"/>
            </w:pPr>
            <w:r/>
            <w:r>
              <w:rPr>
                <w:rFonts w:ascii="Times New Roman" w:hAnsi="Times New Roman"/>
                <w:b w:val="0"/>
                <w:sz w:val="16"/>
              </w:rPr>
              <w:t>3,31 / 5,00</w:t>
            </w:r>
          </w:p>
        </w:tc>
      </w:tr>
      <w:tr>
        <w:tc>
          <w:tcPr>
            <w:tcW w:type="dxa" w:w="4535"/>
            <w:vAlign w:val="center"/>
          </w:tcPr>
          <w:p>
            <w:pPr>
              <w:jc w:val="left"/>
            </w:pPr>
            <w:r/>
            <w:r>
              <w:rPr>
                <w:rFonts w:ascii="Times New Roman" w:hAnsi="Times New Roman"/>
                <w:b w:val="0"/>
                <w:sz w:val="16"/>
              </w:rPr>
              <w:t>Olumlu Görüş Oranı</w:t>
            </w:r>
          </w:p>
        </w:tc>
        <w:tc>
          <w:tcPr>
            <w:tcW w:type="dxa" w:w="3402"/>
            <w:vAlign w:val="center"/>
          </w:tcPr>
          <w:p>
            <w:pPr>
              <w:jc w:val="center"/>
            </w:pPr>
            <w:r/>
            <w:r>
              <w:rPr>
                <w:rFonts w:ascii="Times New Roman" w:hAnsi="Times New Roman"/>
                <w:b w:val="0"/>
                <w:sz w:val="16"/>
              </w:rPr>
              <w:t>%55,1</w:t>
            </w:r>
          </w:p>
        </w:tc>
      </w:tr>
      <w:tr>
        <w:tc>
          <w:tcPr>
            <w:tcW w:type="dxa" w:w="4535"/>
            <w:vAlign w:val="center"/>
          </w:tcPr>
          <w:p>
            <w:pPr>
              <w:jc w:val="left"/>
            </w:pPr>
            <w:r/>
            <w:r>
              <w:rPr>
                <w:rFonts w:ascii="Times New Roman" w:hAnsi="Times New Roman"/>
                <w:b w:val="0"/>
                <w:sz w:val="16"/>
              </w:rPr>
              <w:t>Kararsız Görüş Oranı</w:t>
            </w:r>
          </w:p>
        </w:tc>
        <w:tc>
          <w:tcPr>
            <w:tcW w:type="dxa" w:w="3402"/>
            <w:vAlign w:val="center"/>
          </w:tcPr>
          <w:p>
            <w:pPr>
              <w:jc w:val="center"/>
            </w:pPr>
            <w:r/>
            <w:r>
              <w:rPr>
                <w:rFonts w:ascii="Times New Roman" w:hAnsi="Times New Roman"/>
                <w:b w:val="0"/>
                <w:sz w:val="16"/>
              </w:rPr>
              <w:t>%6,3</w:t>
            </w:r>
          </w:p>
        </w:tc>
      </w:tr>
      <w:tr>
        <w:tc>
          <w:tcPr>
            <w:tcW w:type="dxa" w:w="4535"/>
            <w:vAlign w:val="center"/>
          </w:tcPr>
          <w:p>
            <w:pPr>
              <w:jc w:val="left"/>
            </w:pPr>
            <w:r/>
            <w:r>
              <w:rPr>
                <w:rFonts w:ascii="Times New Roman" w:hAnsi="Times New Roman"/>
                <w:b w:val="0"/>
                <w:sz w:val="16"/>
              </w:rPr>
              <w:t>Olumsuz Görüş Oranı</w:t>
            </w:r>
          </w:p>
        </w:tc>
        <w:tc>
          <w:tcPr>
            <w:tcW w:type="dxa" w:w="3402"/>
            <w:vAlign w:val="center"/>
          </w:tcPr>
          <w:p>
            <w:pPr>
              <w:jc w:val="center"/>
            </w:pPr>
            <w:r/>
            <w:r>
              <w:rPr>
                <w:rFonts w:ascii="Times New Roman" w:hAnsi="Times New Roman"/>
                <w:b w:val="0"/>
                <w:sz w:val="16"/>
              </w:rPr>
              <w:t>%38,6</w:t>
            </w:r>
          </w:p>
        </w:tc>
      </w:tr>
    </w:tbl>
    <w:p>
      <w:pPr>
        <w:pStyle w:val="Heading2"/>
        <w:spacing w:after="120" w:line="276" w:lineRule="auto"/>
      </w:pPr>
      <w:r>
        <w:rPr>
          <w:rFonts w:ascii="Times New Roman" w:hAnsi="Times New Roman"/>
        </w:rPr>
        <w:t>Ek 2. Boyutlara Göre Genel Sonuçlar</w:t>
      </w:r>
    </w:p>
    <w:tbl>
      <w:tblPr>
        <w:tblStyle w:val="TableGrid"/>
        <w:tblW w:type="auto" w:w="0"/>
        <w:jc w:val="center"/>
        <w:tblLook w:firstColumn="1" w:firstRow="1" w:lastColumn="0" w:lastRow="0" w:noHBand="0" w:noVBand="1" w:val="04A0"/>
      </w:tblPr>
      <w:tblGrid>
        <w:gridCol w:w="1881"/>
        <w:gridCol w:w="1881"/>
        <w:gridCol w:w="1881"/>
        <w:gridCol w:w="1881"/>
        <w:gridCol w:w="1881"/>
      </w:tblGrid>
      <w:tr>
        <w:tc>
          <w:tcPr>
            <w:tcW w:type="dxa" w:w="3685"/>
            <w:vAlign w:val="center"/>
            <w:shd w:fill="D9EAF7"/>
          </w:tcPr>
          <w:p>
            <w:pPr>
              <w:jc w:val="left"/>
            </w:pPr>
            <w:r/>
            <w:r>
              <w:rPr>
                <w:rFonts w:ascii="Times New Roman" w:hAnsi="Times New Roman"/>
                <w:b/>
                <w:sz w:val="16"/>
              </w:rPr>
              <w:t>Boyut</w:t>
            </w:r>
          </w:p>
        </w:tc>
        <w:tc>
          <w:tcPr>
            <w:tcW w:type="dxa" w:w="1417"/>
            <w:vAlign w:val="center"/>
            <w:shd w:fill="D9EAF7"/>
          </w:tcPr>
          <w:p>
            <w:pPr>
              <w:jc w:val="center"/>
            </w:pPr>
            <w:r/>
            <w:r>
              <w:rPr>
                <w:rFonts w:ascii="Times New Roman" w:hAnsi="Times New Roman"/>
                <w:b/>
                <w:sz w:val="16"/>
              </w:rPr>
              <w:t>Ortalama</w:t>
            </w:r>
          </w:p>
        </w:tc>
        <w:tc>
          <w:tcPr>
            <w:tcW w:type="dxa" w:w="1417"/>
            <w:vAlign w:val="center"/>
            <w:shd w:fill="D9EAF7"/>
          </w:tcPr>
          <w:p>
            <w:pPr>
              <w:jc w:val="center"/>
            </w:pPr>
            <w:r/>
            <w:r>
              <w:rPr>
                <w:rFonts w:ascii="Times New Roman" w:hAnsi="Times New Roman"/>
                <w:b/>
                <w:sz w:val="16"/>
              </w:rPr>
              <w:t>Olumlu</w:t>
            </w:r>
          </w:p>
        </w:tc>
        <w:tc>
          <w:tcPr>
            <w:tcW w:type="dxa" w:w="1417"/>
            <w:vAlign w:val="center"/>
            <w:shd w:fill="D9EAF7"/>
          </w:tcPr>
          <w:p>
            <w:pPr>
              <w:jc w:val="center"/>
            </w:pPr>
            <w:r/>
            <w:r>
              <w:rPr>
                <w:rFonts w:ascii="Times New Roman" w:hAnsi="Times New Roman"/>
                <w:b/>
                <w:sz w:val="16"/>
              </w:rPr>
              <w:t>Kararsız</w:t>
            </w:r>
          </w:p>
        </w:tc>
        <w:tc>
          <w:tcPr>
            <w:tcW w:type="dxa" w:w="1417"/>
            <w:vAlign w:val="center"/>
            <w:shd w:fill="D9EAF7"/>
          </w:tcPr>
          <w:p>
            <w:pPr>
              <w:jc w:val="center"/>
            </w:pPr>
            <w:r/>
            <w:r>
              <w:rPr>
                <w:rFonts w:ascii="Times New Roman" w:hAnsi="Times New Roman"/>
                <w:b/>
                <w:sz w:val="16"/>
              </w:rPr>
              <w:t>Olumsuz</w:t>
            </w:r>
          </w:p>
        </w:tc>
      </w:tr>
      <w:tr>
        <w:tc>
          <w:tcPr>
            <w:tcW w:type="dxa" w:w="3685"/>
            <w:vAlign w:val="center"/>
          </w:tcPr>
          <w:p>
            <w:pPr>
              <w:jc w:val="left"/>
            </w:pPr>
            <w:r/>
            <w:r>
              <w:rPr>
                <w:rFonts w:ascii="Times New Roman" w:hAnsi="Times New Roman"/>
                <w:b w:val="0"/>
                <w:sz w:val="16"/>
              </w:rPr>
              <w:t>Planlama, kaynak ve çıktı uyumu</w:t>
            </w:r>
          </w:p>
        </w:tc>
        <w:tc>
          <w:tcPr>
            <w:tcW w:type="dxa" w:w="1417"/>
            <w:vAlign w:val="center"/>
          </w:tcPr>
          <w:p>
            <w:pPr>
              <w:jc w:val="center"/>
            </w:pPr>
            <w:r/>
            <w:r>
              <w:rPr>
                <w:rFonts w:ascii="Times New Roman" w:hAnsi="Times New Roman"/>
                <w:b w:val="0"/>
                <w:sz w:val="16"/>
              </w:rPr>
              <w:t>3,44 / 5,00</w:t>
            </w:r>
          </w:p>
        </w:tc>
        <w:tc>
          <w:tcPr>
            <w:tcW w:type="dxa" w:w="1417"/>
            <w:vAlign w:val="center"/>
          </w:tcPr>
          <w:p>
            <w:pPr>
              <w:jc w:val="center"/>
            </w:pPr>
            <w:r/>
            <w:r>
              <w:rPr>
                <w:rFonts w:ascii="Times New Roman" w:hAnsi="Times New Roman"/>
                <w:b w:val="0"/>
                <w:sz w:val="16"/>
              </w:rPr>
              <w:t>%59,2</w:t>
            </w:r>
          </w:p>
        </w:tc>
        <w:tc>
          <w:tcPr>
            <w:tcW w:type="dxa" w:w="1417"/>
            <w:vAlign w:val="center"/>
          </w:tcPr>
          <w:p>
            <w:pPr>
              <w:jc w:val="center"/>
            </w:pPr>
            <w:r/>
            <w:r>
              <w:rPr>
                <w:rFonts w:ascii="Times New Roman" w:hAnsi="Times New Roman"/>
                <w:b w:val="0"/>
                <w:sz w:val="16"/>
              </w:rPr>
              <w:t>%5,1</w:t>
            </w:r>
          </w:p>
        </w:tc>
        <w:tc>
          <w:tcPr>
            <w:tcW w:type="dxa" w:w="1417"/>
            <w:vAlign w:val="center"/>
          </w:tcPr>
          <w:p>
            <w:pPr>
              <w:jc w:val="center"/>
            </w:pPr>
            <w:r/>
            <w:r>
              <w:rPr>
                <w:rFonts w:ascii="Times New Roman" w:hAnsi="Times New Roman"/>
                <w:b w:val="0"/>
                <w:sz w:val="16"/>
              </w:rPr>
              <w:t>%35,7</w:t>
            </w:r>
          </w:p>
        </w:tc>
      </w:tr>
      <w:tr>
        <w:tc>
          <w:tcPr>
            <w:tcW w:type="dxa" w:w="3685"/>
            <w:vAlign w:val="center"/>
          </w:tcPr>
          <w:p>
            <w:pPr>
              <w:jc w:val="left"/>
            </w:pPr>
            <w:r/>
            <w:r>
              <w:rPr>
                <w:rFonts w:ascii="Times New Roman" w:hAnsi="Times New Roman"/>
                <w:b w:val="0"/>
                <w:sz w:val="16"/>
              </w:rPr>
              <w:t>Derse hazırlık ve öğretim süreci</w:t>
            </w:r>
          </w:p>
        </w:tc>
        <w:tc>
          <w:tcPr>
            <w:tcW w:type="dxa" w:w="1417"/>
            <w:vAlign w:val="center"/>
          </w:tcPr>
          <w:p>
            <w:pPr>
              <w:jc w:val="center"/>
            </w:pPr>
            <w:r/>
            <w:r>
              <w:rPr>
                <w:rFonts w:ascii="Times New Roman" w:hAnsi="Times New Roman"/>
                <w:b w:val="0"/>
                <w:sz w:val="16"/>
              </w:rPr>
              <w:t>3,32 / 5,00</w:t>
            </w:r>
          </w:p>
        </w:tc>
        <w:tc>
          <w:tcPr>
            <w:tcW w:type="dxa" w:w="1417"/>
            <w:vAlign w:val="center"/>
          </w:tcPr>
          <w:p>
            <w:pPr>
              <w:jc w:val="center"/>
            </w:pPr>
            <w:r/>
            <w:r>
              <w:rPr>
                <w:rFonts w:ascii="Times New Roman" w:hAnsi="Times New Roman"/>
                <w:b w:val="0"/>
                <w:sz w:val="16"/>
              </w:rPr>
              <w:t>%55,4</w:t>
            </w:r>
          </w:p>
        </w:tc>
        <w:tc>
          <w:tcPr>
            <w:tcW w:type="dxa" w:w="1417"/>
            <w:vAlign w:val="center"/>
          </w:tcPr>
          <w:p>
            <w:pPr>
              <w:jc w:val="center"/>
            </w:pPr>
            <w:r/>
            <w:r>
              <w:rPr>
                <w:rFonts w:ascii="Times New Roman" w:hAnsi="Times New Roman"/>
                <w:b w:val="0"/>
                <w:sz w:val="16"/>
              </w:rPr>
              <w:t>%5,9</w:t>
            </w:r>
          </w:p>
        </w:tc>
        <w:tc>
          <w:tcPr>
            <w:tcW w:type="dxa" w:w="1417"/>
            <w:vAlign w:val="center"/>
          </w:tcPr>
          <w:p>
            <w:pPr>
              <w:jc w:val="center"/>
            </w:pPr>
            <w:r/>
            <w:r>
              <w:rPr>
                <w:rFonts w:ascii="Times New Roman" w:hAnsi="Times New Roman"/>
                <w:b w:val="0"/>
                <w:sz w:val="16"/>
              </w:rPr>
              <w:t>%38,8</w:t>
            </w:r>
          </w:p>
        </w:tc>
      </w:tr>
      <w:tr>
        <w:tc>
          <w:tcPr>
            <w:tcW w:type="dxa" w:w="3685"/>
            <w:vAlign w:val="center"/>
          </w:tcPr>
          <w:p>
            <w:pPr>
              <w:jc w:val="left"/>
            </w:pPr>
            <w:r/>
            <w:r>
              <w:rPr>
                <w:rFonts w:ascii="Times New Roman" w:hAnsi="Times New Roman"/>
                <w:b w:val="0"/>
                <w:sz w:val="16"/>
              </w:rPr>
              <w:t>Uygulama, etik ve pratik öğrenme</w:t>
            </w:r>
          </w:p>
        </w:tc>
        <w:tc>
          <w:tcPr>
            <w:tcW w:type="dxa" w:w="1417"/>
            <w:vAlign w:val="center"/>
          </w:tcPr>
          <w:p>
            <w:pPr>
              <w:jc w:val="center"/>
            </w:pPr>
            <w:r/>
            <w:r>
              <w:rPr>
                <w:rFonts w:ascii="Times New Roman" w:hAnsi="Times New Roman"/>
                <w:b w:val="0"/>
                <w:sz w:val="16"/>
              </w:rPr>
              <w:t>3,21 / 5,00</w:t>
            </w:r>
          </w:p>
        </w:tc>
        <w:tc>
          <w:tcPr>
            <w:tcW w:type="dxa" w:w="1417"/>
            <w:vAlign w:val="center"/>
          </w:tcPr>
          <w:p>
            <w:pPr>
              <w:jc w:val="center"/>
            </w:pPr>
            <w:r/>
            <w:r>
              <w:rPr>
                <w:rFonts w:ascii="Times New Roman" w:hAnsi="Times New Roman"/>
                <w:b w:val="0"/>
                <w:sz w:val="16"/>
              </w:rPr>
              <w:t>%51,8</w:t>
            </w:r>
          </w:p>
        </w:tc>
        <w:tc>
          <w:tcPr>
            <w:tcW w:type="dxa" w:w="1417"/>
            <w:vAlign w:val="center"/>
          </w:tcPr>
          <w:p>
            <w:pPr>
              <w:jc w:val="center"/>
            </w:pPr>
            <w:r/>
            <w:r>
              <w:rPr>
                <w:rFonts w:ascii="Times New Roman" w:hAnsi="Times New Roman"/>
                <w:b w:val="0"/>
                <w:sz w:val="16"/>
              </w:rPr>
              <w:t>%8,2</w:t>
            </w:r>
          </w:p>
        </w:tc>
        <w:tc>
          <w:tcPr>
            <w:tcW w:type="dxa" w:w="1417"/>
            <w:vAlign w:val="center"/>
          </w:tcPr>
          <w:p>
            <w:pPr>
              <w:jc w:val="center"/>
            </w:pPr>
            <w:r/>
            <w:r>
              <w:rPr>
                <w:rFonts w:ascii="Times New Roman" w:hAnsi="Times New Roman"/>
                <w:b w:val="0"/>
                <w:sz w:val="16"/>
              </w:rPr>
              <w:t>%40,0</w:t>
            </w:r>
          </w:p>
        </w:tc>
      </w:tr>
      <w:tr>
        <w:tc>
          <w:tcPr>
            <w:tcW w:type="dxa" w:w="3685"/>
            <w:vAlign w:val="center"/>
          </w:tcPr>
          <w:p>
            <w:pPr>
              <w:jc w:val="left"/>
            </w:pPr>
            <w:r/>
            <w:r>
              <w:rPr>
                <w:rFonts w:ascii="Times New Roman" w:hAnsi="Times New Roman"/>
                <w:b w:val="0"/>
                <w:sz w:val="16"/>
              </w:rPr>
              <w:t>İletişim, ölçme-değerlendirme ve geri bildirim</w:t>
            </w:r>
          </w:p>
        </w:tc>
        <w:tc>
          <w:tcPr>
            <w:tcW w:type="dxa" w:w="1417"/>
            <w:vAlign w:val="center"/>
          </w:tcPr>
          <w:p>
            <w:pPr>
              <w:jc w:val="center"/>
            </w:pPr>
            <w:r/>
            <w:r>
              <w:rPr>
                <w:rFonts w:ascii="Times New Roman" w:hAnsi="Times New Roman"/>
                <w:b w:val="0"/>
                <w:sz w:val="16"/>
              </w:rPr>
              <w:t>3,29 / 5,00</w:t>
            </w:r>
          </w:p>
        </w:tc>
        <w:tc>
          <w:tcPr>
            <w:tcW w:type="dxa" w:w="1417"/>
            <w:vAlign w:val="center"/>
          </w:tcPr>
          <w:p>
            <w:pPr>
              <w:jc w:val="center"/>
            </w:pPr>
            <w:r/>
            <w:r>
              <w:rPr>
                <w:rFonts w:ascii="Times New Roman" w:hAnsi="Times New Roman"/>
                <w:b w:val="0"/>
                <w:sz w:val="16"/>
              </w:rPr>
              <w:t>%54,7</w:t>
            </w:r>
          </w:p>
        </w:tc>
        <w:tc>
          <w:tcPr>
            <w:tcW w:type="dxa" w:w="1417"/>
            <w:vAlign w:val="center"/>
          </w:tcPr>
          <w:p>
            <w:pPr>
              <w:jc w:val="center"/>
            </w:pPr>
            <w:r/>
            <w:r>
              <w:rPr>
                <w:rFonts w:ascii="Times New Roman" w:hAnsi="Times New Roman"/>
                <w:b w:val="0"/>
                <w:sz w:val="16"/>
              </w:rPr>
              <w:t>%6,7</w:t>
            </w:r>
          </w:p>
        </w:tc>
        <w:tc>
          <w:tcPr>
            <w:tcW w:type="dxa" w:w="1417"/>
            <w:vAlign w:val="center"/>
          </w:tcPr>
          <w:p>
            <w:pPr>
              <w:jc w:val="center"/>
            </w:pPr>
            <w:r/>
            <w:r>
              <w:rPr>
                <w:rFonts w:ascii="Times New Roman" w:hAnsi="Times New Roman"/>
                <w:b w:val="0"/>
                <w:sz w:val="16"/>
              </w:rPr>
              <w:t>%38,6</w:t>
            </w:r>
          </w:p>
        </w:tc>
      </w:tr>
      <w:tr>
        <w:tc>
          <w:tcPr>
            <w:tcW w:type="dxa" w:w="3685"/>
            <w:vAlign w:val="center"/>
          </w:tcPr>
          <w:p>
            <w:pPr>
              <w:jc w:val="left"/>
            </w:pPr>
            <w:r/>
            <w:r>
              <w:rPr>
                <w:rFonts w:ascii="Times New Roman" w:hAnsi="Times New Roman"/>
                <w:b w:val="0"/>
                <w:sz w:val="16"/>
              </w:rPr>
              <w:t>Mesleki katkı ve genel memnuniyet</w:t>
            </w:r>
          </w:p>
        </w:tc>
        <w:tc>
          <w:tcPr>
            <w:tcW w:type="dxa" w:w="1417"/>
            <w:vAlign w:val="center"/>
          </w:tcPr>
          <w:p>
            <w:pPr>
              <w:jc w:val="center"/>
            </w:pPr>
            <w:r/>
            <w:r>
              <w:rPr>
                <w:rFonts w:ascii="Times New Roman" w:hAnsi="Times New Roman"/>
                <w:b w:val="0"/>
                <w:sz w:val="16"/>
              </w:rPr>
              <w:t>3,25 / 5,00</w:t>
            </w:r>
          </w:p>
        </w:tc>
        <w:tc>
          <w:tcPr>
            <w:tcW w:type="dxa" w:w="1417"/>
            <w:vAlign w:val="center"/>
          </w:tcPr>
          <w:p>
            <w:pPr>
              <w:jc w:val="center"/>
            </w:pPr>
            <w:r/>
            <w:r>
              <w:rPr>
                <w:rFonts w:ascii="Times New Roman" w:hAnsi="Times New Roman"/>
                <w:b w:val="0"/>
                <w:sz w:val="16"/>
              </w:rPr>
              <w:t>%53,5</w:t>
            </w:r>
          </w:p>
        </w:tc>
        <w:tc>
          <w:tcPr>
            <w:tcW w:type="dxa" w:w="1417"/>
            <w:vAlign w:val="center"/>
          </w:tcPr>
          <w:p>
            <w:pPr>
              <w:jc w:val="center"/>
            </w:pPr>
            <w:r/>
            <w:r>
              <w:rPr>
                <w:rFonts w:ascii="Times New Roman" w:hAnsi="Times New Roman"/>
                <w:b w:val="0"/>
                <w:sz w:val="16"/>
              </w:rPr>
              <w:t>%5,9</w:t>
            </w:r>
          </w:p>
        </w:tc>
        <w:tc>
          <w:tcPr>
            <w:tcW w:type="dxa" w:w="1417"/>
            <w:vAlign w:val="center"/>
          </w:tcPr>
          <w:p>
            <w:pPr>
              <w:jc w:val="center"/>
            </w:pPr>
            <w:r/>
            <w:r>
              <w:rPr>
                <w:rFonts w:ascii="Times New Roman" w:hAnsi="Times New Roman"/>
                <w:b w:val="0"/>
                <w:sz w:val="16"/>
              </w:rPr>
              <w:t>%40,6</w:t>
            </w:r>
          </w:p>
        </w:tc>
      </w:tr>
    </w:tbl>
    <w:p>
      <w:pPr>
        <w:pStyle w:val="Heading2"/>
        <w:spacing w:after="120" w:line="276" w:lineRule="auto"/>
      </w:pPr>
      <w:r>
        <w:rPr>
          <w:rFonts w:ascii="Times New Roman" w:hAnsi="Times New Roman"/>
        </w:rPr>
        <w:t>Ek 3. Madde Bazında Ortalama Puanlar</w:t>
      </w:r>
    </w:p>
    <w:tbl>
      <w:tblPr>
        <w:tblStyle w:val="TableGrid"/>
        <w:tblW w:type="auto" w:w="0"/>
        <w:jc w:val="center"/>
        <w:tblLook w:firstColumn="1" w:firstRow="1" w:lastColumn="0" w:lastRow="0" w:noHBand="0" w:noVBand="1" w:val="04A0"/>
      </w:tblPr>
      <w:tblGrid>
        <w:gridCol w:w="1568"/>
        <w:gridCol w:w="1568"/>
        <w:gridCol w:w="1568"/>
        <w:gridCol w:w="1568"/>
        <w:gridCol w:w="1568"/>
        <w:gridCol w:w="1568"/>
      </w:tblGrid>
      <w:tr>
        <w:tc>
          <w:tcPr>
            <w:tcW w:type="dxa" w:w="567"/>
            <w:vAlign w:val="center"/>
            <w:shd w:fill="D9EAF7"/>
          </w:tcPr>
          <w:p>
            <w:pPr>
              <w:jc w:val="left"/>
            </w:pPr>
            <w:r/>
            <w:r>
              <w:rPr>
                <w:rFonts w:ascii="Times New Roman" w:hAnsi="Times New Roman"/>
                <w:b/>
                <w:sz w:val="14"/>
              </w:rPr>
              <w:t>No</w:t>
            </w:r>
          </w:p>
        </w:tc>
        <w:tc>
          <w:tcPr>
            <w:tcW w:type="dxa" w:w="5102"/>
            <w:vAlign w:val="center"/>
            <w:shd w:fill="D9EAF7"/>
          </w:tcPr>
          <w:p>
            <w:pPr>
              <w:jc w:val="center"/>
            </w:pPr>
            <w:r/>
            <w:r>
              <w:rPr>
                <w:rFonts w:ascii="Times New Roman" w:hAnsi="Times New Roman"/>
                <w:b/>
                <w:sz w:val="14"/>
              </w:rPr>
              <w:t>Madde</w:t>
            </w:r>
          </w:p>
        </w:tc>
        <w:tc>
          <w:tcPr>
            <w:tcW w:type="dxa" w:w="1134"/>
            <w:vAlign w:val="center"/>
            <w:shd w:fill="D9EAF7"/>
          </w:tcPr>
          <w:p>
            <w:pPr>
              <w:jc w:val="center"/>
            </w:pPr>
            <w:r/>
            <w:r>
              <w:rPr>
                <w:rFonts w:ascii="Times New Roman" w:hAnsi="Times New Roman"/>
                <w:b/>
                <w:sz w:val="14"/>
              </w:rPr>
              <w:t>Ortalama</w:t>
            </w:r>
          </w:p>
        </w:tc>
        <w:tc>
          <w:tcPr>
            <w:tcW w:type="dxa" w:w="1134"/>
            <w:vAlign w:val="center"/>
            <w:shd w:fill="D9EAF7"/>
          </w:tcPr>
          <w:p>
            <w:pPr>
              <w:jc w:val="center"/>
            </w:pPr>
            <w:r/>
            <w:r>
              <w:rPr>
                <w:rFonts w:ascii="Times New Roman" w:hAnsi="Times New Roman"/>
                <w:b/>
                <w:sz w:val="14"/>
              </w:rPr>
              <w:t>Olumlu</w:t>
            </w:r>
          </w:p>
        </w:tc>
        <w:tc>
          <w:tcPr>
            <w:tcW w:type="dxa" w:w="1134"/>
            <w:vAlign w:val="center"/>
            <w:shd w:fill="D9EAF7"/>
          </w:tcPr>
          <w:p>
            <w:pPr>
              <w:jc w:val="center"/>
            </w:pPr>
            <w:r/>
            <w:r>
              <w:rPr>
                <w:rFonts w:ascii="Times New Roman" w:hAnsi="Times New Roman"/>
                <w:b/>
                <w:sz w:val="14"/>
              </w:rPr>
              <w:t>Kararsız</w:t>
            </w:r>
          </w:p>
        </w:tc>
        <w:tc>
          <w:tcPr>
            <w:tcW w:type="dxa" w:w="1134"/>
            <w:vAlign w:val="center"/>
            <w:shd w:fill="D9EAF7"/>
          </w:tcPr>
          <w:p>
            <w:pPr>
              <w:jc w:val="center"/>
            </w:pPr>
            <w:r/>
            <w:r>
              <w:rPr>
                <w:rFonts w:ascii="Times New Roman" w:hAnsi="Times New Roman"/>
                <w:b/>
                <w:sz w:val="14"/>
              </w:rPr>
              <w:t>Olumsuz</w:t>
            </w:r>
          </w:p>
        </w:tc>
      </w:tr>
      <w:tr>
        <w:tc>
          <w:tcPr>
            <w:tcW w:type="dxa" w:w="567"/>
            <w:vAlign w:val="center"/>
          </w:tcPr>
          <w:p>
            <w:pPr>
              <w:jc w:val="left"/>
            </w:pPr>
            <w:r/>
            <w:r>
              <w:rPr>
                <w:rFonts w:ascii="Times New Roman" w:hAnsi="Times New Roman"/>
                <w:b w:val="0"/>
                <w:sz w:val="14"/>
              </w:rPr>
              <w:t>1</w:t>
            </w:r>
          </w:p>
        </w:tc>
        <w:tc>
          <w:tcPr>
            <w:tcW w:type="dxa" w:w="5102"/>
            <w:vAlign w:val="center"/>
          </w:tcPr>
          <w:p>
            <w:pPr>
              <w:jc w:val="center"/>
            </w:pPr>
            <w:r/>
            <w:r>
              <w:rPr>
                <w:rFonts w:ascii="Times New Roman" w:hAnsi="Times New Roman"/>
                <w:b w:val="0"/>
                <w:sz w:val="14"/>
              </w:rPr>
              <w:t>Öğretim üyesi, dersin dönemlik planını ve kaynaklarını ilk derste açıkça belirtti.</w:t>
            </w:r>
          </w:p>
        </w:tc>
        <w:tc>
          <w:tcPr>
            <w:tcW w:type="dxa" w:w="1134"/>
            <w:vAlign w:val="center"/>
          </w:tcPr>
          <w:p>
            <w:pPr>
              <w:jc w:val="center"/>
            </w:pPr>
            <w:r/>
            <w:r>
              <w:rPr>
                <w:rFonts w:ascii="Times New Roman" w:hAnsi="Times New Roman"/>
                <w:b w:val="0"/>
                <w:sz w:val="14"/>
              </w:rPr>
              <w:t>3,50 / 5,00</w:t>
            </w:r>
          </w:p>
        </w:tc>
        <w:tc>
          <w:tcPr>
            <w:tcW w:type="dxa" w:w="1134"/>
            <w:vAlign w:val="center"/>
          </w:tcPr>
          <w:p>
            <w:pPr>
              <w:jc w:val="center"/>
            </w:pPr>
            <w:r/>
            <w:r>
              <w:rPr>
                <w:rFonts w:ascii="Times New Roman" w:hAnsi="Times New Roman"/>
                <w:b w:val="0"/>
                <w:sz w:val="14"/>
              </w:rPr>
              <w:t>%60,7</w:t>
            </w:r>
          </w:p>
        </w:tc>
        <w:tc>
          <w:tcPr>
            <w:tcW w:type="dxa" w:w="1134"/>
            <w:vAlign w:val="center"/>
          </w:tcPr>
          <w:p>
            <w:pPr>
              <w:jc w:val="center"/>
            </w:pPr>
            <w:r/>
            <w:r>
              <w:rPr>
                <w:rFonts w:ascii="Times New Roman" w:hAnsi="Times New Roman"/>
                <w:b w:val="0"/>
                <w:sz w:val="14"/>
              </w:rPr>
              <w:t>%6,0</w:t>
            </w:r>
          </w:p>
        </w:tc>
        <w:tc>
          <w:tcPr>
            <w:tcW w:type="dxa" w:w="1134"/>
            <w:vAlign w:val="center"/>
          </w:tcPr>
          <w:p>
            <w:pPr>
              <w:jc w:val="center"/>
            </w:pPr>
            <w:r/>
            <w:r>
              <w:rPr>
                <w:rFonts w:ascii="Times New Roman" w:hAnsi="Times New Roman"/>
                <w:b w:val="0"/>
                <w:sz w:val="14"/>
              </w:rPr>
              <w:t>%33,3</w:t>
            </w:r>
          </w:p>
        </w:tc>
      </w:tr>
      <w:tr>
        <w:tc>
          <w:tcPr>
            <w:tcW w:type="dxa" w:w="567"/>
            <w:vAlign w:val="center"/>
          </w:tcPr>
          <w:p>
            <w:pPr>
              <w:jc w:val="left"/>
            </w:pPr>
            <w:r/>
            <w:r>
              <w:rPr>
                <w:rFonts w:ascii="Times New Roman" w:hAnsi="Times New Roman"/>
                <w:b w:val="0"/>
                <w:sz w:val="14"/>
              </w:rPr>
              <w:t>2</w:t>
            </w:r>
          </w:p>
        </w:tc>
        <w:tc>
          <w:tcPr>
            <w:tcW w:type="dxa" w:w="5102"/>
            <w:vAlign w:val="center"/>
          </w:tcPr>
          <w:p>
            <w:pPr>
              <w:jc w:val="center"/>
            </w:pPr>
            <w:r/>
            <w:r>
              <w:rPr>
                <w:rFonts w:ascii="Times New Roman" w:hAnsi="Times New Roman"/>
                <w:b w:val="0"/>
                <w:sz w:val="14"/>
              </w:rPr>
              <w:t>Dersin öğrenim çıktıları (hedefleri) ile işlenen konular birbiriyle uyumluydu.</w:t>
            </w:r>
          </w:p>
        </w:tc>
        <w:tc>
          <w:tcPr>
            <w:tcW w:type="dxa" w:w="1134"/>
            <w:vAlign w:val="center"/>
          </w:tcPr>
          <w:p>
            <w:pPr>
              <w:jc w:val="center"/>
            </w:pPr>
            <w:r/>
            <w:r>
              <w:rPr>
                <w:rFonts w:ascii="Times New Roman" w:hAnsi="Times New Roman"/>
                <w:b w:val="0"/>
                <w:sz w:val="14"/>
              </w:rPr>
              <w:t>3,42 / 5,00</w:t>
            </w:r>
          </w:p>
        </w:tc>
        <w:tc>
          <w:tcPr>
            <w:tcW w:type="dxa" w:w="1134"/>
            <w:vAlign w:val="center"/>
          </w:tcPr>
          <w:p>
            <w:pPr>
              <w:jc w:val="center"/>
            </w:pPr>
            <w:r/>
            <w:r>
              <w:rPr>
                <w:rFonts w:ascii="Times New Roman" w:hAnsi="Times New Roman"/>
                <w:b w:val="0"/>
                <w:sz w:val="14"/>
              </w:rPr>
              <w:t>%58,9</w:t>
            </w:r>
          </w:p>
        </w:tc>
        <w:tc>
          <w:tcPr>
            <w:tcW w:type="dxa" w:w="1134"/>
            <w:vAlign w:val="center"/>
          </w:tcPr>
          <w:p>
            <w:pPr>
              <w:jc w:val="center"/>
            </w:pPr>
            <w:r/>
            <w:r>
              <w:rPr>
                <w:rFonts w:ascii="Times New Roman" w:hAnsi="Times New Roman"/>
                <w:b w:val="0"/>
                <w:sz w:val="14"/>
              </w:rPr>
              <w:t>%4,3</w:t>
            </w:r>
          </w:p>
        </w:tc>
        <w:tc>
          <w:tcPr>
            <w:tcW w:type="dxa" w:w="1134"/>
            <w:vAlign w:val="center"/>
          </w:tcPr>
          <w:p>
            <w:pPr>
              <w:jc w:val="center"/>
            </w:pPr>
            <w:r/>
            <w:r>
              <w:rPr>
                <w:rFonts w:ascii="Times New Roman" w:hAnsi="Times New Roman"/>
                <w:b w:val="0"/>
                <w:sz w:val="14"/>
              </w:rPr>
              <w:t>%36,8</w:t>
            </w:r>
          </w:p>
        </w:tc>
      </w:tr>
      <w:tr>
        <w:tc>
          <w:tcPr>
            <w:tcW w:type="dxa" w:w="567"/>
            <w:vAlign w:val="center"/>
          </w:tcPr>
          <w:p>
            <w:pPr>
              <w:jc w:val="left"/>
            </w:pPr>
            <w:r/>
            <w:r>
              <w:rPr>
                <w:rFonts w:ascii="Times New Roman" w:hAnsi="Times New Roman"/>
                <w:b w:val="0"/>
                <w:sz w:val="14"/>
              </w:rPr>
              <w:t>3</w:t>
            </w:r>
          </w:p>
        </w:tc>
        <w:tc>
          <w:tcPr>
            <w:tcW w:type="dxa" w:w="5102"/>
            <w:vAlign w:val="center"/>
          </w:tcPr>
          <w:p>
            <w:pPr>
              <w:jc w:val="center"/>
            </w:pPr>
            <w:r/>
            <w:r>
              <w:rPr>
                <w:rFonts w:ascii="Times New Roman" w:hAnsi="Times New Roman"/>
                <w:b w:val="0"/>
                <w:sz w:val="14"/>
              </w:rPr>
              <w:t>Derslerde önerilen temel ve yardımcı kaynaklar (kitap, makale vb.) günceldir.</w:t>
            </w:r>
          </w:p>
        </w:tc>
        <w:tc>
          <w:tcPr>
            <w:tcW w:type="dxa" w:w="1134"/>
            <w:vAlign w:val="center"/>
          </w:tcPr>
          <w:p>
            <w:pPr>
              <w:jc w:val="center"/>
            </w:pPr>
            <w:r/>
            <w:r>
              <w:rPr>
                <w:rFonts w:ascii="Times New Roman" w:hAnsi="Times New Roman"/>
                <w:b w:val="0"/>
                <w:sz w:val="14"/>
              </w:rPr>
              <w:t>3,40 / 5,00</w:t>
            </w:r>
          </w:p>
        </w:tc>
        <w:tc>
          <w:tcPr>
            <w:tcW w:type="dxa" w:w="1134"/>
            <w:vAlign w:val="center"/>
          </w:tcPr>
          <w:p>
            <w:pPr>
              <w:jc w:val="center"/>
            </w:pPr>
            <w:r/>
            <w:r>
              <w:rPr>
                <w:rFonts w:ascii="Times New Roman" w:hAnsi="Times New Roman"/>
                <w:b w:val="0"/>
                <w:sz w:val="14"/>
              </w:rPr>
              <w:t>%58,1</w:t>
            </w:r>
          </w:p>
        </w:tc>
        <w:tc>
          <w:tcPr>
            <w:tcW w:type="dxa" w:w="1134"/>
            <w:vAlign w:val="center"/>
          </w:tcPr>
          <w:p>
            <w:pPr>
              <w:jc w:val="center"/>
            </w:pPr>
            <w:r/>
            <w:r>
              <w:rPr>
                <w:rFonts w:ascii="Times New Roman" w:hAnsi="Times New Roman"/>
                <w:b w:val="0"/>
                <w:sz w:val="14"/>
              </w:rPr>
              <w:t>%5,0</w:t>
            </w:r>
          </w:p>
        </w:tc>
        <w:tc>
          <w:tcPr>
            <w:tcW w:type="dxa" w:w="1134"/>
            <w:vAlign w:val="center"/>
          </w:tcPr>
          <w:p>
            <w:pPr>
              <w:jc w:val="center"/>
            </w:pPr>
            <w:r/>
            <w:r>
              <w:rPr>
                <w:rFonts w:ascii="Times New Roman" w:hAnsi="Times New Roman"/>
                <w:b w:val="0"/>
                <w:sz w:val="14"/>
              </w:rPr>
              <w:t>%36,8</w:t>
            </w:r>
          </w:p>
        </w:tc>
      </w:tr>
      <w:tr>
        <w:tc>
          <w:tcPr>
            <w:tcW w:type="dxa" w:w="567"/>
            <w:vAlign w:val="center"/>
          </w:tcPr>
          <w:p>
            <w:pPr>
              <w:jc w:val="left"/>
            </w:pPr>
            <w:r/>
            <w:r>
              <w:rPr>
                <w:rFonts w:ascii="Times New Roman" w:hAnsi="Times New Roman"/>
                <w:b w:val="0"/>
                <w:sz w:val="14"/>
              </w:rPr>
              <w:t>4</w:t>
            </w:r>
          </w:p>
        </w:tc>
        <w:tc>
          <w:tcPr>
            <w:tcW w:type="dxa" w:w="5102"/>
            <w:vAlign w:val="center"/>
          </w:tcPr>
          <w:p>
            <w:pPr>
              <w:jc w:val="center"/>
            </w:pPr>
            <w:r/>
            <w:r>
              <w:rPr>
                <w:rFonts w:ascii="Times New Roman" w:hAnsi="Times New Roman"/>
                <w:b w:val="0"/>
                <w:sz w:val="14"/>
              </w:rPr>
              <w:t>Öğretim üyesi derslere hazırlıklı ve donanımlı gelmektedir.</w:t>
            </w:r>
          </w:p>
        </w:tc>
        <w:tc>
          <w:tcPr>
            <w:tcW w:type="dxa" w:w="1134"/>
            <w:vAlign w:val="center"/>
          </w:tcPr>
          <w:p>
            <w:pPr>
              <w:jc w:val="center"/>
            </w:pPr>
            <w:r/>
            <w:r>
              <w:rPr>
                <w:rFonts w:ascii="Times New Roman" w:hAnsi="Times New Roman"/>
                <w:b w:val="0"/>
                <w:sz w:val="14"/>
              </w:rPr>
              <w:t>3,34 / 5,00</w:t>
            </w:r>
          </w:p>
        </w:tc>
        <w:tc>
          <w:tcPr>
            <w:tcW w:type="dxa" w:w="1134"/>
            <w:vAlign w:val="center"/>
          </w:tcPr>
          <w:p>
            <w:pPr>
              <w:jc w:val="center"/>
            </w:pPr>
            <w:r/>
            <w:r>
              <w:rPr>
                <w:rFonts w:ascii="Times New Roman" w:hAnsi="Times New Roman"/>
                <w:b w:val="0"/>
                <w:sz w:val="14"/>
              </w:rPr>
              <w:t>%56,4</w:t>
            </w:r>
          </w:p>
        </w:tc>
        <w:tc>
          <w:tcPr>
            <w:tcW w:type="dxa" w:w="1134"/>
            <w:vAlign w:val="center"/>
          </w:tcPr>
          <w:p>
            <w:pPr>
              <w:jc w:val="center"/>
            </w:pPr>
            <w:r/>
            <w:r>
              <w:rPr>
                <w:rFonts w:ascii="Times New Roman" w:hAnsi="Times New Roman"/>
                <w:b w:val="0"/>
                <w:sz w:val="14"/>
              </w:rPr>
              <w:t>%5,0</w:t>
            </w:r>
          </w:p>
        </w:tc>
        <w:tc>
          <w:tcPr>
            <w:tcW w:type="dxa" w:w="1134"/>
            <w:vAlign w:val="center"/>
          </w:tcPr>
          <w:p>
            <w:pPr>
              <w:jc w:val="center"/>
            </w:pPr>
            <w:r/>
            <w:r>
              <w:rPr>
                <w:rFonts w:ascii="Times New Roman" w:hAnsi="Times New Roman"/>
                <w:b w:val="0"/>
                <w:sz w:val="14"/>
              </w:rPr>
              <w:t>%38,6</w:t>
            </w:r>
          </w:p>
        </w:tc>
      </w:tr>
      <w:tr>
        <w:tc>
          <w:tcPr>
            <w:tcW w:type="dxa" w:w="567"/>
            <w:vAlign w:val="center"/>
          </w:tcPr>
          <w:p>
            <w:pPr>
              <w:jc w:val="left"/>
            </w:pPr>
            <w:r/>
            <w:r>
              <w:rPr>
                <w:rFonts w:ascii="Times New Roman" w:hAnsi="Times New Roman"/>
                <w:b w:val="0"/>
                <w:sz w:val="14"/>
              </w:rPr>
              <w:t>5</w:t>
            </w:r>
          </w:p>
        </w:tc>
        <w:tc>
          <w:tcPr>
            <w:tcW w:type="dxa" w:w="5102"/>
            <w:vAlign w:val="center"/>
          </w:tcPr>
          <w:p>
            <w:pPr>
              <w:jc w:val="center"/>
            </w:pPr>
            <w:r/>
            <w:r>
              <w:rPr>
                <w:rFonts w:ascii="Times New Roman" w:hAnsi="Times New Roman"/>
                <w:b w:val="0"/>
                <w:sz w:val="14"/>
              </w:rPr>
              <w:t>Dersler, ilan edilen haftalık ders programına ve saatlerine uygun şekilde yürütülmektedir.</w:t>
            </w:r>
          </w:p>
        </w:tc>
        <w:tc>
          <w:tcPr>
            <w:tcW w:type="dxa" w:w="1134"/>
            <w:vAlign w:val="center"/>
          </w:tcPr>
          <w:p>
            <w:pPr>
              <w:jc w:val="center"/>
            </w:pPr>
            <w:r/>
            <w:r>
              <w:rPr>
                <w:rFonts w:ascii="Times New Roman" w:hAnsi="Times New Roman"/>
                <w:b w:val="0"/>
                <w:sz w:val="14"/>
              </w:rPr>
              <w:t>3,46 / 5,00</w:t>
            </w:r>
          </w:p>
        </w:tc>
        <w:tc>
          <w:tcPr>
            <w:tcW w:type="dxa" w:w="1134"/>
            <w:vAlign w:val="center"/>
          </w:tcPr>
          <w:p>
            <w:pPr>
              <w:jc w:val="center"/>
            </w:pPr>
            <w:r/>
            <w:r>
              <w:rPr>
                <w:rFonts w:ascii="Times New Roman" w:hAnsi="Times New Roman"/>
                <w:b w:val="0"/>
                <w:sz w:val="14"/>
              </w:rPr>
              <w:t>%58,9</w:t>
            </w:r>
          </w:p>
        </w:tc>
        <w:tc>
          <w:tcPr>
            <w:tcW w:type="dxa" w:w="1134"/>
            <w:vAlign w:val="center"/>
          </w:tcPr>
          <w:p>
            <w:pPr>
              <w:jc w:val="center"/>
            </w:pPr>
            <w:r/>
            <w:r>
              <w:rPr>
                <w:rFonts w:ascii="Times New Roman" w:hAnsi="Times New Roman"/>
                <w:b w:val="0"/>
                <w:sz w:val="14"/>
              </w:rPr>
              <w:t>%6,3</w:t>
            </w:r>
          </w:p>
        </w:tc>
        <w:tc>
          <w:tcPr>
            <w:tcW w:type="dxa" w:w="1134"/>
            <w:vAlign w:val="center"/>
          </w:tcPr>
          <w:p>
            <w:pPr>
              <w:jc w:val="center"/>
            </w:pPr>
            <w:r/>
            <w:r>
              <w:rPr>
                <w:rFonts w:ascii="Times New Roman" w:hAnsi="Times New Roman"/>
                <w:b w:val="0"/>
                <w:sz w:val="14"/>
              </w:rPr>
              <w:t>%34,8</w:t>
            </w:r>
          </w:p>
        </w:tc>
      </w:tr>
      <w:tr>
        <w:tc>
          <w:tcPr>
            <w:tcW w:type="dxa" w:w="567"/>
            <w:vAlign w:val="center"/>
          </w:tcPr>
          <w:p>
            <w:pPr>
              <w:jc w:val="left"/>
            </w:pPr>
            <w:r/>
            <w:r>
              <w:rPr>
                <w:rFonts w:ascii="Times New Roman" w:hAnsi="Times New Roman"/>
                <w:b w:val="0"/>
                <w:sz w:val="14"/>
              </w:rPr>
              <w:t>6</w:t>
            </w:r>
          </w:p>
        </w:tc>
        <w:tc>
          <w:tcPr>
            <w:tcW w:type="dxa" w:w="5102"/>
            <w:vAlign w:val="center"/>
          </w:tcPr>
          <w:p>
            <w:pPr>
              <w:jc w:val="center"/>
            </w:pPr>
            <w:r/>
            <w:r>
              <w:rPr>
                <w:rFonts w:ascii="Times New Roman" w:hAnsi="Times New Roman"/>
                <w:b w:val="0"/>
                <w:sz w:val="14"/>
              </w:rPr>
              <w:t>Karmaşık tıbbi ve teknik terimler, anlaşılır ve sistemli bir şekilde açıklanmaktadır.</w:t>
            </w:r>
          </w:p>
        </w:tc>
        <w:tc>
          <w:tcPr>
            <w:tcW w:type="dxa" w:w="1134"/>
            <w:vAlign w:val="center"/>
          </w:tcPr>
          <w:p>
            <w:pPr>
              <w:jc w:val="center"/>
            </w:pPr>
            <w:r/>
            <w:r>
              <w:rPr>
                <w:rFonts w:ascii="Times New Roman" w:hAnsi="Times New Roman"/>
                <w:b w:val="0"/>
                <w:sz w:val="14"/>
              </w:rPr>
              <w:t>3,30 / 5,00</w:t>
            </w:r>
          </w:p>
        </w:tc>
        <w:tc>
          <w:tcPr>
            <w:tcW w:type="dxa" w:w="1134"/>
            <w:vAlign w:val="center"/>
          </w:tcPr>
          <w:p>
            <w:pPr>
              <w:jc w:val="center"/>
            </w:pPr>
            <w:r/>
            <w:r>
              <w:rPr>
                <w:rFonts w:ascii="Times New Roman" w:hAnsi="Times New Roman"/>
                <w:b w:val="0"/>
                <w:sz w:val="14"/>
              </w:rPr>
              <w:t>%55,1</w:t>
            </w:r>
          </w:p>
        </w:tc>
        <w:tc>
          <w:tcPr>
            <w:tcW w:type="dxa" w:w="1134"/>
            <w:vAlign w:val="center"/>
          </w:tcPr>
          <w:p>
            <w:pPr>
              <w:jc w:val="center"/>
            </w:pPr>
            <w:r/>
            <w:r>
              <w:rPr>
                <w:rFonts w:ascii="Times New Roman" w:hAnsi="Times New Roman"/>
                <w:b w:val="0"/>
                <w:sz w:val="14"/>
              </w:rPr>
              <w:t>%4,8</w:t>
            </w:r>
          </w:p>
        </w:tc>
        <w:tc>
          <w:tcPr>
            <w:tcW w:type="dxa" w:w="1134"/>
            <w:vAlign w:val="center"/>
          </w:tcPr>
          <w:p>
            <w:pPr>
              <w:jc w:val="center"/>
            </w:pPr>
            <w:r/>
            <w:r>
              <w:rPr>
                <w:rFonts w:ascii="Times New Roman" w:hAnsi="Times New Roman"/>
                <w:b w:val="0"/>
                <w:sz w:val="14"/>
              </w:rPr>
              <w:t>%40,1</w:t>
            </w:r>
          </w:p>
        </w:tc>
      </w:tr>
      <w:tr>
        <w:tc>
          <w:tcPr>
            <w:tcW w:type="dxa" w:w="567"/>
            <w:vAlign w:val="center"/>
          </w:tcPr>
          <w:p>
            <w:pPr>
              <w:jc w:val="left"/>
            </w:pPr>
            <w:r/>
            <w:r>
              <w:rPr>
                <w:rFonts w:ascii="Times New Roman" w:hAnsi="Times New Roman"/>
                <w:b w:val="0"/>
                <w:sz w:val="14"/>
              </w:rPr>
              <w:t>7</w:t>
            </w:r>
          </w:p>
        </w:tc>
        <w:tc>
          <w:tcPr>
            <w:tcW w:type="dxa" w:w="5102"/>
            <w:vAlign w:val="center"/>
          </w:tcPr>
          <w:p>
            <w:pPr>
              <w:jc w:val="center"/>
            </w:pPr>
            <w:r/>
            <w:r>
              <w:rPr>
                <w:rFonts w:ascii="Times New Roman" w:hAnsi="Times New Roman"/>
                <w:b w:val="0"/>
                <w:sz w:val="14"/>
              </w:rPr>
              <w:t>Derslerde sunum, video, simülasyon ve görsel materyaller etkin kullanılmaktadır.</w:t>
            </w:r>
          </w:p>
        </w:tc>
        <w:tc>
          <w:tcPr>
            <w:tcW w:type="dxa" w:w="1134"/>
            <w:vAlign w:val="center"/>
          </w:tcPr>
          <w:p>
            <w:pPr>
              <w:jc w:val="center"/>
            </w:pPr>
            <w:r/>
            <w:r>
              <w:rPr>
                <w:rFonts w:ascii="Times New Roman" w:hAnsi="Times New Roman"/>
                <w:b w:val="0"/>
                <w:sz w:val="14"/>
              </w:rPr>
              <w:t>3,25 / 5,00</w:t>
            </w:r>
          </w:p>
        </w:tc>
        <w:tc>
          <w:tcPr>
            <w:tcW w:type="dxa" w:w="1134"/>
            <w:vAlign w:val="center"/>
          </w:tcPr>
          <w:p>
            <w:pPr>
              <w:jc w:val="center"/>
            </w:pPr>
            <w:r/>
            <w:r>
              <w:rPr>
                <w:rFonts w:ascii="Times New Roman" w:hAnsi="Times New Roman"/>
                <w:b w:val="0"/>
                <w:sz w:val="14"/>
              </w:rPr>
              <w:t>%52,9</w:t>
            </w:r>
          </w:p>
        </w:tc>
        <w:tc>
          <w:tcPr>
            <w:tcW w:type="dxa" w:w="1134"/>
            <w:vAlign w:val="center"/>
          </w:tcPr>
          <w:p>
            <w:pPr>
              <w:jc w:val="center"/>
            </w:pPr>
            <w:r/>
            <w:r>
              <w:rPr>
                <w:rFonts w:ascii="Times New Roman" w:hAnsi="Times New Roman"/>
                <w:b w:val="0"/>
                <w:sz w:val="14"/>
              </w:rPr>
              <w:t>%7,8</w:t>
            </w:r>
          </w:p>
        </w:tc>
        <w:tc>
          <w:tcPr>
            <w:tcW w:type="dxa" w:w="1134"/>
            <w:vAlign w:val="center"/>
          </w:tcPr>
          <w:p>
            <w:pPr>
              <w:jc w:val="center"/>
            </w:pPr>
            <w:r/>
            <w:r>
              <w:rPr>
                <w:rFonts w:ascii="Times New Roman" w:hAnsi="Times New Roman"/>
                <w:b w:val="0"/>
                <w:sz w:val="14"/>
              </w:rPr>
              <w:t>%39,3</w:t>
            </w:r>
          </w:p>
        </w:tc>
      </w:tr>
      <w:tr>
        <w:tc>
          <w:tcPr>
            <w:tcW w:type="dxa" w:w="567"/>
            <w:vAlign w:val="center"/>
          </w:tcPr>
          <w:p>
            <w:pPr>
              <w:jc w:val="left"/>
            </w:pPr>
            <w:r/>
            <w:r>
              <w:rPr>
                <w:rFonts w:ascii="Times New Roman" w:hAnsi="Times New Roman"/>
                <w:b w:val="0"/>
                <w:sz w:val="14"/>
              </w:rPr>
              <w:t>8</w:t>
            </w:r>
          </w:p>
        </w:tc>
        <w:tc>
          <w:tcPr>
            <w:tcW w:type="dxa" w:w="5102"/>
            <w:vAlign w:val="center"/>
          </w:tcPr>
          <w:p>
            <w:pPr>
              <w:jc w:val="center"/>
            </w:pPr>
            <w:r/>
            <w:r>
              <w:rPr>
                <w:rFonts w:ascii="Times New Roman" w:hAnsi="Times New Roman"/>
                <w:b w:val="0"/>
                <w:sz w:val="14"/>
              </w:rPr>
              <w:t>Öğretim üyesi, öğrencinin derse aktif katılımını (soru-cevap, tartışma vb.) teşvik etmektedir.</w:t>
            </w:r>
          </w:p>
        </w:tc>
        <w:tc>
          <w:tcPr>
            <w:tcW w:type="dxa" w:w="1134"/>
            <w:vAlign w:val="center"/>
          </w:tcPr>
          <w:p>
            <w:pPr>
              <w:jc w:val="center"/>
            </w:pPr>
            <w:r/>
            <w:r>
              <w:rPr>
                <w:rFonts w:ascii="Times New Roman" w:hAnsi="Times New Roman"/>
                <w:b w:val="0"/>
                <w:sz w:val="14"/>
              </w:rPr>
              <w:t>3,39 / 5,00</w:t>
            </w:r>
          </w:p>
        </w:tc>
        <w:tc>
          <w:tcPr>
            <w:tcW w:type="dxa" w:w="1134"/>
            <w:vAlign w:val="center"/>
          </w:tcPr>
          <w:p>
            <w:pPr>
              <w:jc w:val="center"/>
            </w:pPr>
            <w:r/>
            <w:r>
              <w:rPr>
                <w:rFonts w:ascii="Times New Roman" w:hAnsi="Times New Roman"/>
                <w:b w:val="0"/>
                <w:sz w:val="14"/>
              </w:rPr>
              <w:t>%57,4</w:t>
            </w:r>
          </w:p>
        </w:tc>
        <w:tc>
          <w:tcPr>
            <w:tcW w:type="dxa" w:w="1134"/>
            <w:vAlign w:val="center"/>
          </w:tcPr>
          <w:p>
            <w:pPr>
              <w:jc w:val="center"/>
            </w:pPr>
            <w:r/>
            <w:r>
              <w:rPr>
                <w:rFonts w:ascii="Times New Roman" w:hAnsi="Times New Roman"/>
                <w:b w:val="0"/>
                <w:sz w:val="14"/>
              </w:rPr>
              <w:t>%6,5</w:t>
            </w:r>
          </w:p>
        </w:tc>
        <w:tc>
          <w:tcPr>
            <w:tcW w:type="dxa" w:w="1134"/>
            <w:vAlign w:val="center"/>
          </w:tcPr>
          <w:p>
            <w:pPr>
              <w:jc w:val="center"/>
            </w:pPr>
            <w:r/>
            <w:r>
              <w:rPr>
                <w:rFonts w:ascii="Times New Roman" w:hAnsi="Times New Roman"/>
                <w:b w:val="0"/>
                <w:sz w:val="14"/>
              </w:rPr>
              <w:t>%36,1</w:t>
            </w:r>
          </w:p>
        </w:tc>
      </w:tr>
      <w:tr>
        <w:tc>
          <w:tcPr>
            <w:tcW w:type="dxa" w:w="567"/>
            <w:vAlign w:val="center"/>
          </w:tcPr>
          <w:p>
            <w:pPr>
              <w:jc w:val="left"/>
            </w:pPr>
            <w:r/>
            <w:r>
              <w:rPr>
                <w:rFonts w:ascii="Times New Roman" w:hAnsi="Times New Roman"/>
                <w:b w:val="0"/>
                <w:sz w:val="14"/>
              </w:rPr>
              <w:t>9</w:t>
            </w:r>
          </w:p>
        </w:tc>
        <w:tc>
          <w:tcPr>
            <w:tcW w:type="dxa" w:w="5102"/>
            <w:vAlign w:val="center"/>
          </w:tcPr>
          <w:p>
            <w:pPr>
              <w:jc w:val="center"/>
            </w:pPr>
            <w:r/>
            <w:r>
              <w:rPr>
                <w:rFonts w:ascii="Times New Roman" w:hAnsi="Times New Roman"/>
                <w:b w:val="0"/>
                <w:sz w:val="14"/>
              </w:rPr>
              <w:t>Dersin işleniş hızı, konunun kavranması için uygundur.</w:t>
            </w:r>
          </w:p>
        </w:tc>
        <w:tc>
          <w:tcPr>
            <w:tcW w:type="dxa" w:w="1134"/>
            <w:vAlign w:val="center"/>
          </w:tcPr>
          <w:p>
            <w:pPr>
              <w:jc w:val="center"/>
            </w:pPr>
            <w:r/>
            <w:r>
              <w:rPr>
                <w:rFonts w:ascii="Times New Roman" w:hAnsi="Times New Roman"/>
                <w:b w:val="0"/>
                <w:sz w:val="14"/>
              </w:rPr>
              <w:t>3,24 / 5,00</w:t>
            </w:r>
          </w:p>
        </w:tc>
        <w:tc>
          <w:tcPr>
            <w:tcW w:type="dxa" w:w="1134"/>
            <w:vAlign w:val="center"/>
          </w:tcPr>
          <w:p>
            <w:pPr>
              <w:jc w:val="center"/>
            </w:pPr>
            <w:r/>
            <w:r>
              <w:rPr>
                <w:rFonts w:ascii="Times New Roman" w:hAnsi="Times New Roman"/>
                <w:b w:val="0"/>
                <w:sz w:val="14"/>
              </w:rPr>
              <w:t>%52,9</w:t>
            </w:r>
          </w:p>
        </w:tc>
        <w:tc>
          <w:tcPr>
            <w:tcW w:type="dxa" w:w="1134"/>
            <w:vAlign w:val="center"/>
          </w:tcPr>
          <w:p>
            <w:pPr>
              <w:jc w:val="center"/>
            </w:pPr>
            <w:r/>
            <w:r>
              <w:rPr>
                <w:rFonts w:ascii="Times New Roman" w:hAnsi="Times New Roman"/>
                <w:b w:val="0"/>
                <w:sz w:val="14"/>
              </w:rPr>
              <w:t>%6,3</w:t>
            </w:r>
          </w:p>
        </w:tc>
        <w:tc>
          <w:tcPr>
            <w:tcW w:type="dxa" w:w="1134"/>
            <w:vAlign w:val="center"/>
          </w:tcPr>
          <w:p>
            <w:pPr>
              <w:jc w:val="center"/>
            </w:pPr>
            <w:r/>
            <w:r>
              <w:rPr>
                <w:rFonts w:ascii="Times New Roman" w:hAnsi="Times New Roman"/>
                <w:b w:val="0"/>
                <w:sz w:val="14"/>
              </w:rPr>
              <w:t>%40,9</w:t>
            </w:r>
          </w:p>
        </w:tc>
      </w:tr>
      <w:tr>
        <w:tc>
          <w:tcPr>
            <w:tcW w:type="dxa" w:w="567"/>
            <w:vAlign w:val="center"/>
          </w:tcPr>
          <w:p>
            <w:pPr>
              <w:jc w:val="left"/>
            </w:pPr>
            <w:r/>
            <w:r>
              <w:rPr>
                <w:rFonts w:ascii="Times New Roman" w:hAnsi="Times New Roman"/>
                <w:b w:val="0"/>
                <w:sz w:val="14"/>
              </w:rPr>
              <w:t>10</w:t>
            </w:r>
          </w:p>
        </w:tc>
        <w:tc>
          <w:tcPr>
            <w:tcW w:type="dxa" w:w="5102"/>
            <w:vAlign w:val="center"/>
          </w:tcPr>
          <w:p>
            <w:pPr>
              <w:jc w:val="center"/>
            </w:pPr>
            <w:r/>
            <w:r>
              <w:rPr>
                <w:rFonts w:ascii="Times New Roman" w:hAnsi="Times New Roman"/>
                <w:b w:val="0"/>
                <w:sz w:val="14"/>
              </w:rPr>
              <w:t>Önemli noktalar ve/veya "klinik ipuçları" ders içerisinde vurgulanmaktadır.</w:t>
            </w:r>
          </w:p>
        </w:tc>
        <w:tc>
          <w:tcPr>
            <w:tcW w:type="dxa" w:w="1134"/>
            <w:vAlign w:val="center"/>
          </w:tcPr>
          <w:p>
            <w:pPr>
              <w:jc w:val="center"/>
            </w:pPr>
            <w:r/>
            <w:r>
              <w:rPr>
                <w:rFonts w:ascii="Times New Roman" w:hAnsi="Times New Roman"/>
                <w:b w:val="0"/>
                <w:sz w:val="14"/>
              </w:rPr>
              <w:t>3,27 / 5,00</w:t>
            </w:r>
          </w:p>
        </w:tc>
        <w:tc>
          <w:tcPr>
            <w:tcW w:type="dxa" w:w="1134"/>
            <w:vAlign w:val="center"/>
          </w:tcPr>
          <w:p>
            <w:pPr>
              <w:jc w:val="center"/>
            </w:pPr>
            <w:r/>
            <w:r>
              <w:rPr>
                <w:rFonts w:ascii="Times New Roman" w:hAnsi="Times New Roman"/>
                <w:b w:val="0"/>
                <w:sz w:val="14"/>
              </w:rPr>
              <w:t>%54,1</w:t>
            </w:r>
          </w:p>
        </w:tc>
        <w:tc>
          <w:tcPr>
            <w:tcW w:type="dxa" w:w="1134"/>
            <w:vAlign w:val="center"/>
          </w:tcPr>
          <w:p>
            <w:pPr>
              <w:jc w:val="center"/>
            </w:pPr>
            <w:r/>
            <w:r>
              <w:rPr>
                <w:rFonts w:ascii="Times New Roman" w:hAnsi="Times New Roman"/>
                <w:b w:val="0"/>
                <w:sz w:val="14"/>
              </w:rPr>
              <w:t>%5,5</w:t>
            </w:r>
          </w:p>
        </w:tc>
        <w:tc>
          <w:tcPr>
            <w:tcW w:type="dxa" w:w="1134"/>
            <w:vAlign w:val="center"/>
          </w:tcPr>
          <w:p>
            <w:pPr>
              <w:jc w:val="center"/>
            </w:pPr>
            <w:r/>
            <w:r>
              <w:rPr>
                <w:rFonts w:ascii="Times New Roman" w:hAnsi="Times New Roman"/>
                <w:b w:val="0"/>
                <w:sz w:val="14"/>
              </w:rPr>
              <w:t>%40,4</w:t>
            </w:r>
          </w:p>
        </w:tc>
      </w:tr>
      <w:tr>
        <w:tc>
          <w:tcPr>
            <w:tcW w:type="dxa" w:w="567"/>
            <w:vAlign w:val="center"/>
          </w:tcPr>
          <w:p>
            <w:pPr>
              <w:jc w:val="left"/>
            </w:pPr>
            <w:r/>
            <w:r>
              <w:rPr>
                <w:rFonts w:ascii="Times New Roman" w:hAnsi="Times New Roman"/>
                <w:b w:val="0"/>
                <w:sz w:val="14"/>
              </w:rPr>
              <w:t>11</w:t>
            </w:r>
          </w:p>
        </w:tc>
        <w:tc>
          <w:tcPr>
            <w:tcW w:type="dxa" w:w="5102"/>
            <w:vAlign w:val="center"/>
          </w:tcPr>
          <w:p>
            <w:pPr>
              <w:jc w:val="center"/>
            </w:pPr>
            <w:r/>
            <w:r>
              <w:rPr>
                <w:rFonts w:ascii="Times New Roman" w:hAnsi="Times New Roman"/>
                <w:b w:val="0"/>
                <w:sz w:val="14"/>
              </w:rPr>
              <w:t>Teorik derslerde anlatılan bilgiler ile laboratuvar/klinik uygulamalar arasında bütünlük sağlanmaktadır.</w:t>
            </w:r>
          </w:p>
        </w:tc>
        <w:tc>
          <w:tcPr>
            <w:tcW w:type="dxa" w:w="1134"/>
            <w:vAlign w:val="center"/>
          </w:tcPr>
          <w:p>
            <w:pPr>
              <w:jc w:val="center"/>
            </w:pPr>
            <w:r/>
            <w:r>
              <w:rPr>
                <w:rFonts w:ascii="Times New Roman" w:hAnsi="Times New Roman"/>
                <w:b w:val="0"/>
                <w:sz w:val="14"/>
              </w:rPr>
              <w:t>3,28 / 5,00</w:t>
            </w:r>
          </w:p>
        </w:tc>
        <w:tc>
          <w:tcPr>
            <w:tcW w:type="dxa" w:w="1134"/>
            <w:vAlign w:val="center"/>
          </w:tcPr>
          <w:p>
            <w:pPr>
              <w:jc w:val="center"/>
            </w:pPr>
            <w:r/>
            <w:r>
              <w:rPr>
                <w:rFonts w:ascii="Times New Roman" w:hAnsi="Times New Roman"/>
                <w:b w:val="0"/>
                <w:sz w:val="14"/>
              </w:rPr>
              <w:t>%55,4</w:t>
            </w:r>
          </w:p>
        </w:tc>
        <w:tc>
          <w:tcPr>
            <w:tcW w:type="dxa" w:w="1134"/>
            <w:vAlign w:val="center"/>
          </w:tcPr>
          <w:p>
            <w:pPr>
              <w:jc w:val="center"/>
            </w:pPr>
            <w:r/>
            <w:r>
              <w:rPr>
                <w:rFonts w:ascii="Times New Roman" w:hAnsi="Times New Roman"/>
                <w:b w:val="0"/>
                <w:sz w:val="14"/>
              </w:rPr>
              <w:t>%4,8</w:t>
            </w:r>
          </w:p>
        </w:tc>
        <w:tc>
          <w:tcPr>
            <w:tcW w:type="dxa" w:w="1134"/>
            <w:vAlign w:val="center"/>
          </w:tcPr>
          <w:p>
            <w:pPr>
              <w:jc w:val="center"/>
            </w:pPr>
            <w:r/>
            <w:r>
              <w:rPr>
                <w:rFonts w:ascii="Times New Roman" w:hAnsi="Times New Roman"/>
                <w:b w:val="0"/>
                <w:sz w:val="14"/>
              </w:rPr>
              <w:t>%39,8</w:t>
            </w:r>
          </w:p>
        </w:tc>
      </w:tr>
      <w:tr>
        <w:tc>
          <w:tcPr>
            <w:tcW w:type="dxa" w:w="567"/>
            <w:vAlign w:val="center"/>
          </w:tcPr>
          <w:p>
            <w:pPr>
              <w:jc w:val="left"/>
            </w:pPr>
            <w:r/>
            <w:r>
              <w:rPr>
                <w:rFonts w:ascii="Times New Roman" w:hAnsi="Times New Roman"/>
                <w:b w:val="0"/>
                <w:sz w:val="14"/>
              </w:rPr>
              <w:t>12</w:t>
            </w:r>
          </w:p>
        </w:tc>
        <w:tc>
          <w:tcPr>
            <w:tcW w:type="dxa" w:w="5102"/>
            <w:vAlign w:val="center"/>
          </w:tcPr>
          <w:p>
            <w:pPr>
              <w:jc w:val="center"/>
            </w:pPr>
            <w:r/>
            <w:r>
              <w:rPr>
                <w:rFonts w:ascii="Times New Roman" w:hAnsi="Times New Roman"/>
                <w:b w:val="0"/>
                <w:sz w:val="14"/>
              </w:rPr>
              <w:t>Uygulama saatlerinde her öğrenciye yeterli pratik yapma imkanı tanınmaktadır.</w:t>
            </w:r>
          </w:p>
        </w:tc>
        <w:tc>
          <w:tcPr>
            <w:tcW w:type="dxa" w:w="1134"/>
            <w:vAlign w:val="center"/>
          </w:tcPr>
          <w:p>
            <w:pPr>
              <w:jc w:val="center"/>
            </w:pPr>
            <w:r/>
            <w:r>
              <w:rPr>
                <w:rFonts w:ascii="Times New Roman" w:hAnsi="Times New Roman"/>
                <w:b w:val="0"/>
                <w:sz w:val="14"/>
              </w:rPr>
              <w:t>3,07 / 5,00</w:t>
            </w:r>
          </w:p>
        </w:tc>
        <w:tc>
          <w:tcPr>
            <w:tcW w:type="dxa" w:w="1134"/>
            <w:vAlign w:val="center"/>
          </w:tcPr>
          <w:p>
            <w:pPr>
              <w:jc w:val="center"/>
            </w:pPr>
            <w:r/>
            <w:r>
              <w:rPr>
                <w:rFonts w:ascii="Times New Roman" w:hAnsi="Times New Roman"/>
                <w:b w:val="0"/>
                <w:sz w:val="14"/>
              </w:rPr>
              <w:t>%47,4</w:t>
            </w:r>
          </w:p>
        </w:tc>
        <w:tc>
          <w:tcPr>
            <w:tcW w:type="dxa" w:w="1134"/>
            <w:vAlign w:val="center"/>
          </w:tcPr>
          <w:p>
            <w:pPr>
              <w:jc w:val="center"/>
            </w:pPr>
            <w:r/>
            <w:r>
              <w:rPr>
                <w:rFonts w:ascii="Times New Roman" w:hAnsi="Times New Roman"/>
                <w:b w:val="0"/>
                <w:sz w:val="14"/>
              </w:rPr>
              <w:t>%9,3</w:t>
            </w:r>
          </w:p>
        </w:tc>
        <w:tc>
          <w:tcPr>
            <w:tcW w:type="dxa" w:w="1134"/>
            <w:vAlign w:val="center"/>
          </w:tcPr>
          <w:p>
            <w:pPr>
              <w:jc w:val="center"/>
            </w:pPr>
            <w:r/>
            <w:r>
              <w:rPr>
                <w:rFonts w:ascii="Times New Roman" w:hAnsi="Times New Roman"/>
                <w:b w:val="0"/>
                <w:sz w:val="14"/>
              </w:rPr>
              <w:t>%43,4</w:t>
            </w:r>
          </w:p>
        </w:tc>
      </w:tr>
      <w:tr>
        <w:tc>
          <w:tcPr>
            <w:tcW w:type="dxa" w:w="567"/>
            <w:vAlign w:val="center"/>
          </w:tcPr>
          <w:p>
            <w:pPr>
              <w:jc w:val="left"/>
            </w:pPr>
            <w:r/>
            <w:r>
              <w:rPr>
                <w:rFonts w:ascii="Times New Roman" w:hAnsi="Times New Roman"/>
                <w:b w:val="0"/>
                <w:sz w:val="14"/>
              </w:rPr>
              <w:t>13</w:t>
            </w:r>
          </w:p>
        </w:tc>
        <w:tc>
          <w:tcPr>
            <w:tcW w:type="dxa" w:w="5102"/>
            <w:vAlign w:val="center"/>
          </w:tcPr>
          <w:p>
            <w:pPr>
              <w:jc w:val="center"/>
            </w:pPr>
            <w:r/>
            <w:r>
              <w:rPr>
                <w:rFonts w:ascii="Times New Roman" w:hAnsi="Times New Roman"/>
                <w:b w:val="0"/>
                <w:sz w:val="14"/>
              </w:rPr>
              <w:t>Uygulamalar sırasında karşılaşılan sorunlara çözüm odaklı ve öğretici yaklaşımlar sergilenmektedir.</w:t>
            </w:r>
          </w:p>
        </w:tc>
        <w:tc>
          <w:tcPr>
            <w:tcW w:type="dxa" w:w="1134"/>
            <w:vAlign w:val="center"/>
          </w:tcPr>
          <w:p>
            <w:pPr>
              <w:jc w:val="center"/>
            </w:pPr>
            <w:r/>
            <w:r>
              <w:rPr>
                <w:rFonts w:ascii="Times New Roman" w:hAnsi="Times New Roman"/>
                <w:b w:val="0"/>
                <w:sz w:val="14"/>
              </w:rPr>
              <w:t>3,24 / 5,00</w:t>
            </w:r>
          </w:p>
        </w:tc>
        <w:tc>
          <w:tcPr>
            <w:tcW w:type="dxa" w:w="1134"/>
            <w:vAlign w:val="center"/>
          </w:tcPr>
          <w:p>
            <w:pPr>
              <w:jc w:val="center"/>
            </w:pPr>
            <w:r/>
            <w:r>
              <w:rPr>
                <w:rFonts w:ascii="Times New Roman" w:hAnsi="Times New Roman"/>
                <w:b w:val="0"/>
                <w:sz w:val="14"/>
              </w:rPr>
              <w:t>%51,9</w:t>
            </w:r>
          </w:p>
        </w:tc>
        <w:tc>
          <w:tcPr>
            <w:tcW w:type="dxa" w:w="1134"/>
            <w:vAlign w:val="center"/>
          </w:tcPr>
          <w:p>
            <w:pPr>
              <w:jc w:val="center"/>
            </w:pPr>
            <w:r/>
            <w:r>
              <w:rPr>
                <w:rFonts w:ascii="Times New Roman" w:hAnsi="Times New Roman"/>
                <w:b w:val="0"/>
                <w:sz w:val="14"/>
              </w:rPr>
              <w:t>%10,3</w:t>
            </w:r>
          </w:p>
        </w:tc>
        <w:tc>
          <w:tcPr>
            <w:tcW w:type="dxa" w:w="1134"/>
            <w:vAlign w:val="center"/>
          </w:tcPr>
          <w:p>
            <w:pPr>
              <w:jc w:val="center"/>
            </w:pPr>
            <w:r/>
            <w:r>
              <w:rPr>
                <w:rFonts w:ascii="Times New Roman" w:hAnsi="Times New Roman"/>
                <w:b w:val="0"/>
                <w:sz w:val="14"/>
              </w:rPr>
              <w:t>%37,8</w:t>
            </w:r>
          </w:p>
        </w:tc>
      </w:tr>
      <w:tr>
        <w:tc>
          <w:tcPr>
            <w:tcW w:type="dxa" w:w="567"/>
            <w:vAlign w:val="center"/>
          </w:tcPr>
          <w:p>
            <w:pPr>
              <w:jc w:val="left"/>
            </w:pPr>
            <w:r/>
            <w:r>
              <w:rPr>
                <w:rFonts w:ascii="Times New Roman" w:hAnsi="Times New Roman"/>
                <w:b w:val="0"/>
                <w:sz w:val="14"/>
              </w:rPr>
              <w:t>14</w:t>
            </w:r>
          </w:p>
        </w:tc>
        <w:tc>
          <w:tcPr>
            <w:tcW w:type="dxa" w:w="5102"/>
            <w:vAlign w:val="center"/>
          </w:tcPr>
          <w:p>
            <w:pPr>
              <w:jc w:val="center"/>
            </w:pPr>
            <w:r/>
            <w:r>
              <w:rPr>
                <w:rFonts w:ascii="Times New Roman" w:hAnsi="Times New Roman"/>
                <w:b w:val="0"/>
                <w:sz w:val="14"/>
              </w:rPr>
              <w:t>Öğretim üyesi, derslerde hayvan refahı ve etik kurallar konusunda farkındalık oluşturmaktadır.</w:t>
            </w:r>
          </w:p>
        </w:tc>
        <w:tc>
          <w:tcPr>
            <w:tcW w:type="dxa" w:w="1134"/>
            <w:vAlign w:val="center"/>
          </w:tcPr>
          <w:p>
            <w:pPr>
              <w:jc w:val="center"/>
            </w:pPr>
            <w:r/>
            <w:r>
              <w:rPr>
                <w:rFonts w:ascii="Times New Roman" w:hAnsi="Times New Roman"/>
                <w:b w:val="0"/>
                <w:sz w:val="14"/>
              </w:rPr>
              <w:t>3,33 / 5,00</w:t>
            </w:r>
          </w:p>
        </w:tc>
        <w:tc>
          <w:tcPr>
            <w:tcW w:type="dxa" w:w="1134"/>
            <w:vAlign w:val="center"/>
          </w:tcPr>
          <w:p>
            <w:pPr>
              <w:jc w:val="center"/>
            </w:pPr>
            <w:r/>
            <w:r>
              <w:rPr>
                <w:rFonts w:ascii="Times New Roman" w:hAnsi="Times New Roman"/>
                <w:b w:val="0"/>
                <w:sz w:val="14"/>
              </w:rPr>
              <w:t>%56,1</w:t>
            </w:r>
          </w:p>
        </w:tc>
        <w:tc>
          <w:tcPr>
            <w:tcW w:type="dxa" w:w="1134"/>
            <w:vAlign w:val="center"/>
          </w:tcPr>
          <w:p>
            <w:pPr>
              <w:jc w:val="center"/>
            </w:pPr>
            <w:r/>
            <w:r>
              <w:rPr>
                <w:rFonts w:ascii="Times New Roman" w:hAnsi="Times New Roman"/>
                <w:b w:val="0"/>
                <w:sz w:val="14"/>
              </w:rPr>
              <w:t>%5,0</w:t>
            </w:r>
          </w:p>
        </w:tc>
        <w:tc>
          <w:tcPr>
            <w:tcW w:type="dxa" w:w="1134"/>
            <w:vAlign w:val="center"/>
          </w:tcPr>
          <w:p>
            <w:pPr>
              <w:jc w:val="center"/>
            </w:pPr>
            <w:r/>
            <w:r>
              <w:rPr>
                <w:rFonts w:ascii="Times New Roman" w:hAnsi="Times New Roman"/>
                <w:b w:val="0"/>
                <w:sz w:val="14"/>
              </w:rPr>
              <w:t>%38,8</w:t>
            </w:r>
          </w:p>
        </w:tc>
      </w:tr>
      <w:tr>
        <w:tc>
          <w:tcPr>
            <w:tcW w:type="dxa" w:w="567"/>
            <w:vAlign w:val="center"/>
          </w:tcPr>
          <w:p>
            <w:pPr>
              <w:jc w:val="left"/>
            </w:pPr>
            <w:r/>
            <w:r>
              <w:rPr>
                <w:rFonts w:ascii="Times New Roman" w:hAnsi="Times New Roman"/>
                <w:b w:val="0"/>
                <w:sz w:val="14"/>
              </w:rPr>
              <w:t>15</w:t>
            </w:r>
          </w:p>
        </w:tc>
        <w:tc>
          <w:tcPr>
            <w:tcW w:type="dxa" w:w="5102"/>
            <w:vAlign w:val="center"/>
          </w:tcPr>
          <w:p>
            <w:pPr>
              <w:jc w:val="center"/>
            </w:pPr>
            <w:r/>
            <w:r>
              <w:rPr>
                <w:rFonts w:ascii="Times New Roman" w:hAnsi="Times New Roman"/>
                <w:b w:val="0"/>
                <w:sz w:val="14"/>
              </w:rPr>
              <w:t>Öğretim üyesi, öğrencilerle olan iletişiminde saygılı ve profesyonel bir tutum sergilemektedir.</w:t>
            </w:r>
          </w:p>
        </w:tc>
        <w:tc>
          <w:tcPr>
            <w:tcW w:type="dxa" w:w="1134"/>
            <w:vAlign w:val="center"/>
          </w:tcPr>
          <w:p>
            <w:pPr>
              <w:jc w:val="center"/>
            </w:pPr>
            <w:r/>
            <w:r>
              <w:rPr>
                <w:rFonts w:ascii="Times New Roman" w:hAnsi="Times New Roman"/>
                <w:b w:val="0"/>
                <w:sz w:val="14"/>
              </w:rPr>
              <w:t>3,24 / 5,00</w:t>
            </w:r>
          </w:p>
        </w:tc>
        <w:tc>
          <w:tcPr>
            <w:tcW w:type="dxa" w:w="1134"/>
            <w:vAlign w:val="center"/>
          </w:tcPr>
          <w:p>
            <w:pPr>
              <w:jc w:val="center"/>
            </w:pPr>
            <w:r/>
            <w:r>
              <w:rPr>
                <w:rFonts w:ascii="Times New Roman" w:hAnsi="Times New Roman"/>
                <w:b w:val="0"/>
                <w:sz w:val="14"/>
              </w:rPr>
              <w:t>%54,1</w:t>
            </w:r>
          </w:p>
        </w:tc>
        <w:tc>
          <w:tcPr>
            <w:tcW w:type="dxa" w:w="1134"/>
            <w:vAlign w:val="center"/>
          </w:tcPr>
          <w:p>
            <w:pPr>
              <w:jc w:val="center"/>
            </w:pPr>
            <w:r/>
            <w:r>
              <w:rPr>
                <w:rFonts w:ascii="Times New Roman" w:hAnsi="Times New Roman"/>
                <w:b w:val="0"/>
                <w:sz w:val="14"/>
              </w:rPr>
              <w:t>%5,3</w:t>
            </w:r>
          </w:p>
        </w:tc>
        <w:tc>
          <w:tcPr>
            <w:tcW w:type="dxa" w:w="1134"/>
            <w:vAlign w:val="center"/>
          </w:tcPr>
          <w:p>
            <w:pPr>
              <w:jc w:val="center"/>
            </w:pPr>
            <w:r/>
            <w:r>
              <w:rPr>
                <w:rFonts w:ascii="Times New Roman" w:hAnsi="Times New Roman"/>
                <w:b w:val="0"/>
                <w:sz w:val="14"/>
              </w:rPr>
              <w:t>%40,6</w:t>
            </w:r>
          </w:p>
        </w:tc>
      </w:tr>
      <w:tr>
        <w:tc>
          <w:tcPr>
            <w:tcW w:type="dxa" w:w="567"/>
            <w:vAlign w:val="center"/>
          </w:tcPr>
          <w:p>
            <w:pPr>
              <w:jc w:val="left"/>
            </w:pPr>
            <w:r/>
            <w:r>
              <w:rPr>
                <w:rFonts w:ascii="Times New Roman" w:hAnsi="Times New Roman"/>
                <w:b w:val="0"/>
                <w:sz w:val="14"/>
              </w:rPr>
              <w:t>16</w:t>
            </w:r>
          </w:p>
        </w:tc>
        <w:tc>
          <w:tcPr>
            <w:tcW w:type="dxa" w:w="5102"/>
            <w:vAlign w:val="center"/>
          </w:tcPr>
          <w:p>
            <w:pPr>
              <w:jc w:val="center"/>
            </w:pPr>
            <w:r/>
            <w:r>
              <w:rPr>
                <w:rFonts w:ascii="Times New Roman" w:hAnsi="Times New Roman"/>
                <w:b w:val="0"/>
                <w:sz w:val="14"/>
              </w:rPr>
              <w:t>Sınav soruları, dersin hedeflerini ve anlatılan konuları temsil edecek kapsamdadır.</w:t>
            </w:r>
          </w:p>
        </w:tc>
        <w:tc>
          <w:tcPr>
            <w:tcW w:type="dxa" w:w="1134"/>
            <w:vAlign w:val="center"/>
          </w:tcPr>
          <w:p>
            <w:pPr>
              <w:jc w:val="center"/>
            </w:pPr>
            <w:r/>
            <w:r>
              <w:rPr>
                <w:rFonts w:ascii="Times New Roman" w:hAnsi="Times New Roman"/>
                <w:b w:val="0"/>
                <w:sz w:val="14"/>
              </w:rPr>
              <w:t>3,25 / 5,00</w:t>
            </w:r>
          </w:p>
        </w:tc>
        <w:tc>
          <w:tcPr>
            <w:tcW w:type="dxa" w:w="1134"/>
            <w:vAlign w:val="center"/>
          </w:tcPr>
          <w:p>
            <w:pPr>
              <w:jc w:val="center"/>
            </w:pPr>
            <w:r/>
            <w:r>
              <w:rPr>
                <w:rFonts w:ascii="Times New Roman" w:hAnsi="Times New Roman"/>
                <w:b w:val="0"/>
                <w:sz w:val="14"/>
              </w:rPr>
              <w:t>%53,9</w:t>
            </w:r>
          </w:p>
        </w:tc>
        <w:tc>
          <w:tcPr>
            <w:tcW w:type="dxa" w:w="1134"/>
            <w:vAlign w:val="center"/>
          </w:tcPr>
          <w:p>
            <w:pPr>
              <w:jc w:val="center"/>
            </w:pPr>
            <w:r/>
            <w:r>
              <w:rPr>
                <w:rFonts w:ascii="Times New Roman" w:hAnsi="Times New Roman"/>
                <w:b w:val="0"/>
                <w:sz w:val="14"/>
              </w:rPr>
              <w:t>%6,0</w:t>
            </w:r>
          </w:p>
        </w:tc>
        <w:tc>
          <w:tcPr>
            <w:tcW w:type="dxa" w:w="1134"/>
            <w:vAlign w:val="center"/>
          </w:tcPr>
          <w:p>
            <w:pPr>
              <w:jc w:val="center"/>
            </w:pPr>
            <w:r/>
            <w:r>
              <w:rPr>
                <w:rFonts w:ascii="Times New Roman" w:hAnsi="Times New Roman"/>
                <w:b w:val="0"/>
                <w:sz w:val="14"/>
              </w:rPr>
              <w:t>%40,1</w:t>
            </w:r>
          </w:p>
        </w:tc>
      </w:tr>
      <w:tr>
        <w:tc>
          <w:tcPr>
            <w:tcW w:type="dxa" w:w="567"/>
            <w:vAlign w:val="center"/>
          </w:tcPr>
          <w:p>
            <w:pPr>
              <w:jc w:val="left"/>
            </w:pPr>
            <w:r/>
            <w:r>
              <w:rPr>
                <w:rFonts w:ascii="Times New Roman" w:hAnsi="Times New Roman"/>
                <w:b w:val="0"/>
                <w:sz w:val="14"/>
              </w:rPr>
              <w:t>17</w:t>
            </w:r>
          </w:p>
        </w:tc>
        <w:tc>
          <w:tcPr>
            <w:tcW w:type="dxa" w:w="5102"/>
            <w:vAlign w:val="center"/>
          </w:tcPr>
          <w:p>
            <w:pPr>
              <w:jc w:val="center"/>
            </w:pPr>
            <w:r/>
            <w:r>
              <w:rPr>
                <w:rFonts w:ascii="Times New Roman" w:hAnsi="Times New Roman"/>
                <w:b w:val="0"/>
                <w:sz w:val="14"/>
              </w:rPr>
              <w:t>Sınavların değerlendirilmesinde objektif ve adil bir tutum izlenmektedir.</w:t>
            </w:r>
          </w:p>
        </w:tc>
        <w:tc>
          <w:tcPr>
            <w:tcW w:type="dxa" w:w="1134"/>
            <w:vAlign w:val="center"/>
          </w:tcPr>
          <w:p>
            <w:pPr>
              <w:jc w:val="center"/>
            </w:pPr>
            <w:r/>
            <w:r>
              <w:rPr>
                <w:rFonts w:ascii="Times New Roman" w:hAnsi="Times New Roman"/>
                <w:b w:val="0"/>
                <w:sz w:val="14"/>
              </w:rPr>
              <w:t>3,33 / 5,00</w:t>
            </w:r>
          </w:p>
        </w:tc>
        <w:tc>
          <w:tcPr>
            <w:tcW w:type="dxa" w:w="1134"/>
            <w:vAlign w:val="center"/>
          </w:tcPr>
          <w:p>
            <w:pPr>
              <w:jc w:val="center"/>
            </w:pPr>
            <w:r/>
            <w:r>
              <w:rPr>
                <w:rFonts w:ascii="Times New Roman" w:hAnsi="Times New Roman"/>
                <w:b w:val="0"/>
                <w:sz w:val="14"/>
              </w:rPr>
              <w:t>%55,9</w:t>
            </w:r>
          </w:p>
        </w:tc>
        <w:tc>
          <w:tcPr>
            <w:tcW w:type="dxa" w:w="1134"/>
            <w:vAlign w:val="center"/>
          </w:tcPr>
          <w:p>
            <w:pPr>
              <w:jc w:val="center"/>
            </w:pPr>
            <w:r/>
            <w:r>
              <w:rPr>
                <w:rFonts w:ascii="Times New Roman" w:hAnsi="Times New Roman"/>
                <w:b w:val="0"/>
                <w:sz w:val="14"/>
              </w:rPr>
              <w:t>%6,8</w:t>
            </w:r>
          </w:p>
        </w:tc>
        <w:tc>
          <w:tcPr>
            <w:tcW w:type="dxa" w:w="1134"/>
            <w:vAlign w:val="center"/>
          </w:tcPr>
          <w:p>
            <w:pPr>
              <w:jc w:val="center"/>
            </w:pPr>
            <w:r/>
            <w:r>
              <w:rPr>
                <w:rFonts w:ascii="Times New Roman" w:hAnsi="Times New Roman"/>
                <w:b w:val="0"/>
                <w:sz w:val="14"/>
              </w:rPr>
              <w:t>%37,3</w:t>
            </w:r>
          </w:p>
        </w:tc>
      </w:tr>
      <w:tr>
        <w:tc>
          <w:tcPr>
            <w:tcW w:type="dxa" w:w="567"/>
            <w:vAlign w:val="center"/>
          </w:tcPr>
          <w:p>
            <w:pPr>
              <w:jc w:val="left"/>
            </w:pPr>
            <w:r/>
            <w:r>
              <w:rPr>
                <w:rFonts w:ascii="Times New Roman" w:hAnsi="Times New Roman"/>
                <w:b w:val="0"/>
                <w:sz w:val="14"/>
              </w:rPr>
              <w:t>18</w:t>
            </w:r>
          </w:p>
        </w:tc>
        <w:tc>
          <w:tcPr>
            <w:tcW w:type="dxa" w:w="5102"/>
            <w:vAlign w:val="center"/>
          </w:tcPr>
          <w:p>
            <w:pPr>
              <w:jc w:val="center"/>
            </w:pPr>
            <w:r/>
            <w:r>
              <w:rPr>
                <w:rFonts w:ascii="Times New Roman" w:hAnsi="Times New Roman"/>
                <w:b w:val="0"/>
                <w:sz w:val="14"/>
              </w:rPr>
              <w:t>Ödev, proje veya sınav sonuçlarına dair eksiklerin giderilmesi için geri bildirim sağlanmaktadır.</w:t>
            </w:r>
          </w:p>
        </w:tc>
        <w:tc>
          <w:tcPr>
            <w:tcW w:type="dxa" w:w="1134"/>
            <w:vAlign w:val="center"/>
          </w:tcPr>
          <w:p>
            <w:pPr>
              <w:jc w:val="center"/>
            </w:pPr>
            <w:r/>
            <w:r>
              <w:rPr>
                <w:rFonts w:ascii="Times New Roman" w:hAnsi="Times New Roman"/>
                <w:b w:val="0"/>
                <w:sz w:val="14"/>
              </w:rPr>
              <w:t>3,27 / 5,00</w:t>
            </w:r>
          </w:p>
        </w:tc>
        <w:tc>
          <w:tcPr>
            <w:tcW w:type="dxa" w:w="1134"/>
            <w:vAlign w:val="center"/>
          </w:tcPr>
          <w:p>
            <w:pPr>
              <w:jc w:val="center"/>
            </w:pPr>
            <w:r/>
            <w:r>
              <w:rPr>
                <w:rFonts w:ascii="Times New Roman" w:hAnsi="Times New Roman"/>
                <w:b w:val="0"/>
                <w:sz w:val="14"/>
              </w:rPr>
              <w:t>%53,1</w:t>
            </w:r>
          </w:p>
        </w:tc>
        <w:tc>
          <w:tcPr>
            <w:tcW w:type="dxa" w:w="1134"/>
            <w:vAlign w:val="center"/>
          </w:tcPr>
          <w:p>
            <w:pPr>
              <w:jc w:val="center"/>
            </w:pPr>
            <w:r/>
            <w:r>
              <w:rPr>
                <w:rFonts w:ascii="Times New Roman" w:hAnsi="Times New Roman"/>
                <w:b w:val="0"/>
                <w:sz w:val="14"/>
              </w:rPr>
              <w:t>%7,8</w:t>
            </w:r>
          </w:p>
        </w:tc>
        <w:tc>
          <w:tcPr>
            <w:tcW w:type="dxa" w:w="1134"/>
            <w:vAlign w:val="center"/>
          </w:tcPr>
          <w:p>
            <w:pPr>
              <w:jc w:val="center"/>
            </w:pPr>
            <w:r/>
            <w:r>
              <w:rPr>
                <w:rFonts w:ascii="Times New Roman" w:hAnsi="Times New Roman"/>
                <w:b w:val="0"/>
                <w:sz w:val="14"/>
              </w:rPr>
              <w:t>%39,1</w:t>
            </w:r>
          </w:p>
        </w:tc>
      </w:tr>
      <w:tr>
        <w:tc>
          <w:tcPr>
            <w:tcW w:type="dxa" w:w="567"/>
            <w:vAlign w:val="center"/>
          </w:tcPr>
          <w:p>
            <w:pPr>
              <w:jc w:val="left"/>
            </w:pPr>
            <w:r/>
            <w:r>
              <w:rPr>
                <w:rFonts w:ascii="Times New Roman" w:hAnsi="Times New Roman"/>
                <w:b w:val="0"/>
                <w:sz w:val="14"/>
              </w:rPr>
              <w:t>19</w:t>
            </w:r>
          </w:p>
        </w:tc>
        <w:tc>
          <w:tcPr>
            <w:tcW w:type="dxa" w:w="5102"/>
            <w:vAlign w:val="center"/>
          </w:tcPr>
          <w:p>
            <w:pPr>
              <w:jc w:val="center"/>
            </w:pPr>
            <w:r/>
            <w:r>
              <w:rPr>
                <w:rFonts w:ascii="Times New Roman" w:hAnsi="Times New Roman"/>
                <w:b w:val="0"/>
                <w:sz w:val="14"/>
              </w:rPr>
              <w:t>Öğrencinin akademik gelişimi için ders dışı saatlerde (danışmanlık saati vb.) ulaşılabilirdir.</w:t>
            </w:r>
          </w:p>
        </w:tc>
        <w:tc>
          <w:tcPr>
            <w:tcW w:type="dxa" w:w="1134"/>
            <w:vAlign w:val="center"/>
          </w:tcPr>
          <w:p>
            <w:pPr>
              <w:jc w:val="center"/>
            </w:pPr>
            <w:r/>
            <w:r>
              <w:rPr>
                <w:rFonts w:ascii="Times New Roman" w:hAnsi="Times New Roman"/>
                <w:b w:val="0"/>
                <w:sz w:val="14"/>
              </w:rPr>
              <w:t>3,35 / 5,00</w:t>
            </w:r>
          </w:p>
        </w:tc>
        <w:tc>
          <w:tcPr>
            <w:tcW w:type="dxa" w:w="1134"/>
            <w:vAlign w:val="center"/>
          </w:tcPr>
          <w:p>
            <w:pPr>
              <w:jc w:val="center"/>
            </w:pPr>
            <w:r/>
            <w:r>
              <w:rPr>
                <w:rFonts w:ascii="Times New Roman" w:hAnsi="Times New Roman"/>
                <w:b w:val="0"/>
                <w:sz w:val="14"/>
              </w:rPr>
              <w:t>%56,6</w:t>
            </w:r>
          </w:p>
        </w:tc>
        <w:tc>
          <w:tcPr>
            <w:tcW w:type="dxa" w:w="1134"/>
            <w:vAlign w:val="center"/>
          </w:tcPr>
          <w:p>
            <w:pPr>
              <w:jc w:val="center"/>
            </w:pPr>
            <w:r/>
            <w:r>
              <w:rPr>
                <w:rFonts w:ascii="Times New Roman" w:hAnsi="Times New Roman"/>
                <w:b w:val="0"/>
                <w:sz w:val="14"/>
              </w:rPr>
              <w:t>%7,5</w:t>
            </w:r>
          </w:p>
        </w:tc>
        <w:tc>
          <w:tcPr>
            <w:tcW w:type="dxa" w:w="1134"/>
            <w:vAlign w:val="center"/>
          </w:tcPr>
          <w:p>
            <w:pPr>
              <w:jc w:val="center"/>
            </w:pPr>
            <w:r/>
            <w:r>
              <w:rPr>
                <w:rFonts w:ascii="Times New Roman" w:hAnsi="Times New Roman"/>
                <w:b w:val="0"/>
                <w:sz w:val="14"/>
              </w:rPr>
              <w:t>%35,8</w:t>
            </w:r>
          </w:p>
        </w:tc>
      </w:tr>
      <w:tr>
        <w:tc>
          <w:tcPr>
            <w:tcW w:type="dxa" w:w="567"/>
            <w:vAlign w:val="center"/>
          </w:tcPr>
          <w:p>
            <w:pPr>
              <w:jc w:val="left"/>
            </w:pPr>
            <w:r/>
            <w:r>
              <w:rPr>
                <w:rFonts w:ascii="Times New Roman" w:hAnsi="Times New Roman"/>
                <w:b w:val="0"/>
                <w:sz w:val="14"/>
              </w:rPr>
              <w:t>20</w:t>
            </w:r>
          </w:p>
        </w:tc>
        <w:tc>
          <w:tcPr>
            <w:tcW w:type="dxa" w:w="5102"/>
            <w:vAlign w:val="center"/>
          </w:tcPr>
          <w:p>
            <w:pPr>
              <w:jc w:val="center"/>
            </w:pPr>
            <w:r/>
            <w:r>
              <w:rPr>
                <w:rFonts w:ascii="Times New Roman" w:hAnsi="Times New Roman"/>
                <w:b w:val="0"/>
                <w:sz w:val="14"/>
              </w:rPr>
              <w:t>Öğretim üyesi, bir veteriner hekim adayı olarak mesleki gelişimime önemli katkı sağlamıştır.</w:t>
            </w:r>
          </w:p>
        </w:tc>
        <w:tc>
          <w:tcPr>
            <w:tcW w:type="dxa" w:w="1134"/>
            <w:vAlign w:val="center"/>
          </w:tcPr>
          <w:p>
            <w:pPr>
              <w:jc w:val="center"/>
            </w:pPr>
            <w:r/>
            <w:r>
              <w:rPr>
                <w:rFonts w:ascii="Times New Roman" w:hAnsi="Times New Roman"/>
                <w:b w:val="0"/>
                <w:sz w:val="14"/>
              </w:rPr>
              <w:t>3,28 / 5,00</w:t>
            </w:r>
          </w:p>
        </w:tc>
        <w:tc>
          <w:tcPr>
            <w:tcW w:type="dxa" w:w="1134"/>
            <w:vAlign w:val="center"/>
          </w:tcPr>
          <w:p>
            <w:pPr>
              <w:jc w:val="center"/>
            </w:pPr>
            <w:r/>
            <w:r>
              <w:rPr>
                <w:rFonts w:ascii="Times New Roman" w:hAnsi="Times New Roman"/>
                <w:b w:val="0"/>
                <w:sz w:val="14"/>
              </w:rPr>
              <w:t>%54,9</w:t>
            </w:r>
          </w:p>
        </w:tc>
        <w:tc>
          <w:tcPr>
            <w:tcW w:type="dxa" w:w="1134"/>
            <w:vAlign w:val="center"/>
          </w:tcPr>
          <w:p>
            <w:pPr>
              <w:jc w:val="center"/>
            </w:pPr>
            <w:r/>
            <w:r>
              <w:rPr>
                <w:rFonts w:ascii="Times New Roman" w:hAnsi="Times New Roman"/>
                <w:b w:val="0"/>
                <w:sz w:val="14"/>
              </w:rPr>
              <w:t>%5,0</w:t>
            </w:r>
          </w:p>
        </w:tc>
        <w:tc>
          <w:tcPr>
            <w:tcW w:type="dxa" w:w="1134"/>
            <w:vAlign w:val="center"/>
          </w:tcPr>
          <w:p>
            <w:pPr>
              <w:jc w:val="center"/>
            </w:pPr>
            <w:r/>
            <w:r>
              <w:rPr>
                <w:rFonts w:ascii="Times New Roman" w:hAnsi="Times New Roman"/>
                <w:b w:val="0"/>
                <w:sz w:val="14"/>
              </w:rPr>
              <w:t>%40,1</w:t>
            </w:r>
          </w:p>
        </w:tc>
      </w:tr>
      <w:tr>
        <w:tc>
          <w:tcPr>
            <w:tcW w:type="dxa" w:w="567"/>
            <w:vAlign w:val="center"/>
          </w:tcPr>
          <w:p>
            <w:pPr>
              <w:jc w:val="left"/>
            </w:pPr>
            <w:r/>
            <w:r>
              <w:rPr>
                <w:rFonts w:ascii="Times New Roman" w:hAnsi="Times New Roman"/>
                <w:b w:val="0"/>
                <w:sz w:val="14"/>
              </w:rPr>
              <w:t>21</w:t>
            </w:r>
          </w:p>
        </w:tc>
        <w:tc>
          <w:tcPr>
            <w:tcW w:type="dxa" w:w="5102"/>
            <w:vAlign w:val="center"/>
          </w:tcPr>
          <w:p>
            <w:pPr>
              <w:jc w:val="center"/>
            </w:pPr>
            <w:r/>
            <w:r>
              <w:rPr>
                <w:rFonts w:ascii="Times New Roman" w:hAnsi="Times New Roman"/>
                <w:b w:val="0"/>
                <w:sz w:val="14"/>
              </w:rPr>
              <w:t>Genel olarak, öğretim üyesinin dersteki performansından memnunum.</w:t>
            </w:r>
          </w:p>
        </w:tc>
        <w:tc>
          <w:tcPr>
            <w:tcW w:type="dxa" w:w="1134"/>
            <w:vAlign w:val="center"/>
          </w:tcPr>
          <w:p>
            <w:pPr>
              <w:jc w:val="center"/>
            </w:pPr>
            <w:r/>
            <w:r>
              <w:rPr>
                <w:rFonts w:ascii="Times New Roman" w:hAnsi="Times New Roman"/>
                <w:b w:val="0"/>
                <w:sz w:val="14"/>
              </w:rPr>
              <w:t>3,22 / 5,00</w:t>
            </w:r>
          </w:p>
        </w:tc>
        <w:tc>
          <w:tcPr>
            <w:tcW w:type="dxa" w:w="1134"/>
            <w:vAlign w:val="center"/>
          </w:tcPr>
          <w:p>
            <w:pPr>
              <w:jc w:val="center"/>
            </w:pPr>
            <w:r/>
            <w:r>
              <w:rPr>
                <w:rFonts w:ascii="Times New Roman" w:hAnsi="Times New Roman"/>
                <w:b w:val="0"/>
                <w:sz w:val="14"/>
              </w:rPr>
              <w:t>%52,1</w:t>
            </w:r>
          </w:p>
        </w:tc>
        <w:tc>
          <w:tcPr>
            <w:tcW w:type="dxa" w:w="1134"/>
            <w:vAlign w:val="center"/>
          </w:tcPr>
          <w:p>
            <w:pPr>
              <w:jc w:val="center"/>
            </w:pPr>
            <w:r/>
            <w:r>
              <w:rPr>
                <w:rFonts w:ascii="Times New Roman" w:hAnsi="Times New Roman"/>
                <w:b w:val="0"/>
                <w:sz w:val="14"/>
              </w:rPr>
              <w:t>%6,8</w:t>
            </w:r>
          </w:p>
        </w:tc>
        <w:tc>
          <w:tcPr>
            <w:tcW w:type="dxa" w:w="1134"/>
            <w:vAlign w:val="center"/>
          </w:tcPr>
          <w:p>
            <w:pPr>
              <w:jc w:val="center"/>
            </w:pPr>
            <w:r/>
            <w:r>
              <w:rPr>
                <w:rFonts w:ascii="Times New Roman" w:hAnsi="Times New Roman"/>
                <w:b w:val="0"/>
                <w:sz w:val="14"/>
              </w:rPr>
              <w:t>%41,1</w:t>
            </w:r>
          </w:p>
        </w:tc>
      </w:tr>
    </w:tbl>
    <w:sectPr w:rsidR="00FC693F" w:rsidRPr="0006063C" w:rsidSect="00034616">
      <w:footerReference w:type="default" r:id="rId9"/>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